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84586706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caps/>
          <w:spacing w:val="20"/>
          <w:lang w:eastAsia="it-IT"/>
        </w:rPr>
      </w:sdtEndPr>
      <w:sdtContent>
        <w:p w:rsidR="00A752CD" w:rsidRDefault="00A752CD"/>
        <w:p w:rsidR="00A752CD" w:rsidRDefault="00A752CD"/>
        <w:p w:rsidR="00A752CD" w:rsidRPr="00384FE3" w:rsidRDefault="00A752CD" w:rsidP="00A752CD">
          <w:pPr>
            <w:jc w:val="center"/>
            <w:outlineLvl w:val="0"/>
            <w:rPr>
              <w:rFonts w:ascii="Times New Roman" w:hAnsi="Times New Roman"/>
              <w:b/>
              <w:caps/>
              <w:spacing w:val="20"/>
              <w:lang w:eastAsia="it-IT"/>
            </w:rPr>
          </w:pPr>
          <w:r w:rsidRPr="00384FE3">
            <w:rPr>
              <w:rFonts w:ascii="Times New Roman" w:hAnsi="Times New Roman"/>
              <w:b/>
              <w:caps/>
              <w:spacing w:val="20"/>
              <w:lang w:eastAsia="it-IT"/>
            </w:rPr>
            <w:t>Казахстанский фонд гарантирования депозитов</w:t>
          </w:r>
        </w:p>
        <w:p w:rsidR="00A752CD" w:rsidRPr="00384FE3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lang w:eastAsia="it-IT"/>
            </w:rPr>
          </w:pPr>
        </w:p>
        <w:p w:rsidR="00A752CD" w:rsidRPr="00384FE3" w:rsidRDefault="00A752CD" w:rsidP="00A752CD">
          <w:pPr>
            <w:tabs>
              <w:tab w:val="center" w:pos="4818"/>
            </w:tabs>
            <w:outlineLvl w:val="0"/>
            <w:rPr>
              <w:rFonts w:ascii="Times New Roman" w:hAnsi="Times New Roman"/>
              <w:b/>
              <w:spacing w:val="20"/>
              <w:lang w:eastAsia="it-IT"/>
            </w:rPr>
          </w:pPr>
          <w:r w:rsidRPr="00384FE3">
            <w:rPr>
              <w:rFonts w:ascii="Times New Roman" w:hAnsi="Times New Roman"/>
              <w:b/>
              <w:spacing w:val="20"/>
              <w:lang w:eastAsia="it-IT"/>
            </w:rPr>
            <w:tab/>
            <w:t>Департамент методологии и расчета дифференцированных ставок взносов</w:t>
          </w:r>
        </w:p>
        <w:p w:rsidR="00A752CD" w:rsidRPr="00384FE3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752CD" w:rsidRPr="00384FE3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752CD" w:rsidRPr="00384FE3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752CD" w:rsidRPr="00384FE3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752CD" w:rsidRPr="00384FE3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752CD" w:rsidRPr="00384FE3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752CD" w:rsidRPr="00384FE3" w:rsidRDefault="00A752CD" w:rsidP="00A752CD">
          <w:pPr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752CD" w:rsidRPr="00384FE3" w:rsidRDefault="00A752CD" w:rsidP="00A752CD">
          <w:pPr>
            <w:jc w:val="center"/>
            <w:outlineLvl w:val="0"/>
            <w:rPr>
              <w:rFonts w:ascii="Times New Roman" w:hAnsi="Times New Roman"/>
              <w:b/>
              <w:spacing w:val="20"/>
              <w:sz w:val="28"/>
              <w:szCs w:val="28"/>
              <w:lang w:eastAsia="it-IT"/>
            </w:rPr>
          </w:pPr>
        </w:p>
        <w:p w:rsidR="00A752CD" w:rsidRPr="00384FE3" w:rsidRDefault="00A752CD" w:rsidP="00A752CD">
          <w:pPr>
            <w:spacing w:after="240"/>
            <w:jc w:val="center"/>
            <w:outlineLvl w:val="0"/>
            <w:rPr>
              <w:rFonts w:ascii="Times New Roman" w:hAnsi="Times New Roman"/>
              <w:b/>
              <w:spacing w:val="20"/>
              <w:sz w:val="30"/>
              <w:szCs w:val="30"/>
              <w:lang w:eastAsia="it-IT"/>
            </w:rPr>
          </w:pPr>
          <w:r w:rsidRPr="00384FE3">
            <w:rPr>
              <w:rFonts w:ascii="Times New Roman" w:hAnsi="Times New Roman"/>
              <w:b/>
              <w:spacing w:val="20"/>
              <w:sz w:val="30"/>
              <w:szCs w:val="30"/>
              <w:lang w:eastAsia="it-IT"/>
            </w:rPr>
            <w:t>КРАТКИЙ ИНФОРМАЦИОННЫЙ ОБЗОР</w:t>
          </w:r>
        </w:p>
        <w:p w:rsidR="00A752CD" w:rsidRPr="00384FE3" w:rsidRDefault="00A752CD" w:rsidP="00A752CD">
          <w:pPr>
            <w:tabs>
              <w:tab w:val="left" w:pos="3969"/>
            </w:tabs>
            <w:spacing w:after="120"/>
            <w:jc w:val="center"/>
            <w:outlineLvl w:val="0"/>
            <w:rPr>
              <w:rFonts w:ascii="Times New Roman" w:hAnsi="Times New Roman"/>
              <w:b/>
              <w:spacing w:val="20"/>
              <w:sz w:val="30"/>
              <w:szCs w:val="30"/>
              <w:lang w:eastAsia="it-IT"/>
            </w:rPr>
          </w:pPr>
          <w:r w:rsidRPr="00384FE3">
            <w:rPr>
              <w:rFonts w:ascii="Times New Roman" w:hAnsi="Times New Roman"/>
              <w:b/>
              <w:spacing w:val="20"/>
              <w:sz w:val="30"/>
              <w:szCs w:val="30"/>
              <w:lang w:eastAsia="it-IT"/>
            </w:rPr>
            <w:t>РЫНКА ДЕПОЗИТОВ ФИЗИЧЕСКИХ ЛИЦ</w:t>
          </w:r>
        </w:p>
        <w:p w:rsidR="00A752CD" w:rsidRPr="00384FE3" w:rsidRDefault="00A752CD" w:rsidP="00A752CD">
          <w:pPr>
            <w:spacing w:after="120"/>
            <w:jc w:val="center"/>
            <w:outlineLvl w:val="0"/>
            <w:rPr>
              <w:rFonts w:ascii="Times New Roman" w:hAnsi="Times New Roman"/>
              <w:b/>
              <w:i/>
              <w:spacing w:val="20"/>
              <w:sz w:val="32"/>
              <w:szCs w:val="32"/>
              <w:lang w:eastAsia="it-IT"/>
            </w:rPr>
          </w:pPr>
          <w:r w:rsidRPr="00384FE3">
            <w:rPr>
              <w:rFonts w:ascii="Times New Roman" w:hAnsi="Times New Roman"/>
              <w:b/>
              <w:i/>
              <w:spacing w:val="20"/>
              <w:sz w:val="30"/>
              <w:szCs w:val="30"/>
              <w:lang w:eastAsia="it-IT"/>
            </w:rPr>
            <w:t>За 1-ый квартал 2014 г.</w:t>
          </w:r>
        </w:p>
        <w:p w:rsidR="00A752CD" w:rsidRDefault="00A752CD"/>
        <w:p w:rsidR="00A752CD" w:rsidRDefault="00705DDD" w:rsidP="00A752CD">
          <w:pPr>
            <w:rPr>
              <w:rFonts w:ascii="Times New Roman" w:hAnsi="Times New Roman"/>
              <w:b/>
              <w:caps/>
              <w:spacing w:val="20"/>
              <w:lang w:eastAsia="it-IT"/>
            </w:rPr>
          </w:pPr>
        </w:p>
      </w:sdtContent>
    </w:sdt>
    <w:p w:rsidR="003F4014" w:rsidRDefault="003F4014" w:rsidP="003F4014">
      <w:pPr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3F4014" w:rsidRDefault="003F4014" w:rsidP="003F4014">
      <w:pPr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3F4014" w:rsidRDefault="003F4014" w:rsidP="003F4014">
      <w:pPr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3F4014" w:rsidRDefault="003F4014" w:rsidP="003F4014">
      <w:pPr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3F4014" w:rsidRDefault="003F4014" w:rsidP="003F4014">
      <w:pPr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3F4014" w:rsidRDefault="003F4014" w:rsidP="003F4014">
      <w:pPr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3F4014" w:rsidRDefault="003F4014" w:rsidP="003F4014">
      <w:pPr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3F4014" w:rsidRDefault="003F4014" w:rsidP="003F4014">
      <w:pPr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3F4014" w:rsidRDefault="003F4014" w:rsidP="003F4014">
      <w:pPr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3F4014" w:rsidRDefault="003F4014" w:rsidP="003F4014">
      <w:pPr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A752CD" w:rsidRPr="003F4014" w:rsidRDefault="00A752CD" w:rsidP="003F4014">
      <w:pPr>
        <w:jc w:val="center"/>
        <w:rPr>
          <w:rFonts w:ascii="Times New Roman" w:hAnsi="Times New Roman"/>
          <w:b/>
          <w:caps/>
          <w:spacing w:val="20"/>
          <w:lang w:eastAsia="it-IT"/>
        </w:rPr>
      </w:pPr>
      <w:r w:rsidRPr="00A752CD">
        <w:rPr>
          <w:rFonts w:ascii="Times New Roman" w:eastAsia="Times New Roman" w:hAnsi="Times New Roman" w:cs="Garamond"/>
          <w:b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Обзор тенденций рынка вкладов физических лиц</w:t>
      </w:r>
    </w:p>
    <w:p w:rsidR="00A752CD" w:rsidRPr="00E46577" w:rsidRDefault="00A752CD" w:rsidP="00A752C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Депозиты населения в банках-участниках СГД достигли 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,1 трлн., при этом рост депозитной базы за 1-ый квартал составил Т186,1 млрд., или 4,7%. Ослабление курса  тенге по отношению к доллару США способствовало значительному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перетоку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тенговых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сбережений населения во вклады в иностранной валюте в первом квартале текущего года, т.е.  снижение депозитов в национальной валюте составило Т324,5 млрд., или (-14,7%), а увеличение вкладов в иностранной валюте составило Т510,6 млрд., или 29,4%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(см. диаграмму 1).</w:t>
      </w:r>
    </w:p>
    <w:p w:rsidR="00A752CD" w:rsidRPr="00E46577" w:rsidRDefault="00A752CD" w:rsidP="00A752CD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52CD" w:rsidRDefault="00A752CD" w:rsidP="00A752CD">
      <w:pPr>
        <w:pStyle w:val="a4"/>
        <w:spacing w:line="276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val="kk-KZ" w:eastAsia="ru-RU"/>
        </w:rPr>
      </w:pPr>
      <w:r w:rsidRPr="000B28F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Диаграмма</w:t>
      </w:r>
      <w:r w:rsidRPr="000B28F5">
        <w:rPr>
          <w:rFonts w:ascii="Times New Roman" w:eastAsia="Times New Roman" w:hAnsi="Times New Roman"/>
          <w:b/>
          <w:i/>
          <w:sz w:val="20"/>
          <w:szCs w:val="20"/>
          <w:lang w:val="kk-KZ" w:eastAsia="ru-RU"/>
        </w:rPr>
        <w:t xml:space="preserve"> 1. Динамика изменений депозитов в тенге и иностранной валюте (в %)</w:t>
      </w:r>
      <w:r>
        <w:rPr>
          <w:rFonts w:ascii="Times New Roman" w:eastAsia="Times New Roman" w:hAnsi="Times New Roman"/>
          <w:b/>
          <w:i/>
          <w:sz w:val="20"/>
          <w:szCs w:val="20"/>
          <w:lang w:val="kk-KZ" w:eastAsia="ru-RU"/>
        </w:rPr>
        <w:t xml:space="preserve"> </w:t>
      </w:r>
    </w:p>
    <w:p w:rsidR="00A752CD" w:rsidRDefault="00A752CD" w:rsidP="00A752CD">
      <w:pPr>
        <w:pStyle w:val="a4"/>
        <w:spacing w:line="276" w:lineRule="auto"/>
        <w:ind w:firstLine="709"/>
        <w:jc w:val="both"/>
        <w:rPr>
          <w:noProof/>
          <w:lang w:val="kk-KZ" w:eastAsia="ru-RU"/>
        </w:rPr>
      </w:pPr>
    </w:p>
    <w:p w:rsidR="00A752CD" w:rsidRPr="000950A3" w:rsidRDefault="00A752CD" w:rsidP="00A752CD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noProof/>
          <w:lang w:eastAsia="ru-RU"/>
        </w:rPr>
        <w:drawing>
          <wp:inline distT="0" distB="0" distL="0" distR="0" wp14:anchorId="2B0C7F7C" wp14:editId="19838A19">
            <wp:extent cx="6153150" cy="24860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950A3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:rsidR="00A752CD" w:rsidRDefault="00A752CD" w:rsidP="00A752C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A150F">
        <w:rPr>
          <w:rFonts w:ascii="Times New Roman" w:eastAsia="Times New Roman" w:hAnsi="Times New Roman"/>
          <w:sz w:val="24"/>
          <w:szCs w:val="24"/>
          <w:lang w:eastAsia="it-IT"/>
        </w:rPr>
        <w:t xml:space="preserve">Еще одна особенность данного квартала - это </w:t>
      </w:r>
      <w:r w:rsidRPr="00CA150F">
        <w:rPr>
          <w:rFonts w:ascii="Times New Roman" w:eastAsia="Times New Roman" w:hAnsi="Times New Roman"/>
          <w:sz w:val="24"/>
          <w:szCs w:val="24"/>
          <w:lang w:val="en-US" w:eastAsia="it-IT"/>
        </w:rPr>
        <w:t>SMS</w:t>
      </w:r>
      <w:r w:rsidRPr="00CA150F">
        <w:rPr>
          <w:rFonts w:ascii="Times New Roman" w:eastAsia="Times New Roman" w:hAnsi="Times New Roman"/>
          <w:sz w:val="24"/>
          <w:szCs w:val="24"/>
          <w:lang w:eastAsia="it-IT"/>
        </w:rPr>
        <w:t xml:space="preserve">-атака на три банка-участника, которая способствовала оттоку депозитов из </w:t>
      </w:r>
      <w:r w:rsidRPr="00CA150F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Альянс Банка </w:t>
      </w:r>
      <w:r w:rsidRPr="00CA150F">
        <w:rPr>
          <w:rFonts w:ascii="Times New Roman" w:eastAsia="Times New Roman" w:hAnsi="Times New Roman"/>
          <w:sz w:val="24"/>
          <w:szCs w:val="24"/>
          <w:lang w:eastAsia="it-IT"/>
        </w:rPr>
        <w:t xml:space="preserve">на 31,1%, </w:t>
      </w:r>
      <w:r w:rsidRPr="00CA150F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БЦК </w:t>
      </w:r>
      <w:r w:rsidRPr="00CA150F">
        <w:rPr>
          <w:rFonts w:ascii="Times New Roman" w:eastAsia="Times New Roman" w:hAnsi="Times New Roman"/>
          <w:sz w:val="24"/>
          <w:szCs w:val="24"/>
          <w:lang w:eastAsia="it-IT"/>
        </w:rPr>
        <w:t xml:space="preserve"> на 12,7%, </w:t>
      </w:r>
      <w:proofErr w:type="spellStart"/>
      <w:r w:rsidRPr="00CA15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Kaspi</w:t>
      </w:r>
      <w:proofErr w:type="spellEnd"/>
      <w:r w:rsidRPr="00CA15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A15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Bank</w:t>
      </w:r>
      <w:proofErr w:type="spellEnd"/>
      <w:r w:rsidRPr="00CA15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CA15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11,7%.</w:t>
      </w:r>
      <w:r w:rsidRPr="009E09B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A752CD" w:rsidRPr="00A752CD" w:rsidRDefault="00A752CD" w:rsidP="00A752CD">
      <w:pPr>
        <w:spacing w:before="120"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Совокупный депозитный портфель банков-участников состоит на 89,3%, </w:t>
      </w:r>
      <w:r w:rsidRPr="002B0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2B0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2B0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трлн.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</w:t>
      </w:r>
      <w:r w:rsidRPr="00E01966">
        <w:rPr>
          <w:rFonts w:ascii="Times New Roman" w:eastAsia="Times New Roman" w:hAnsi="Times New Roman"/>
          <w:i/>
          <w:sz w:val="24"/>
          <w:szCs w:val="24"/>
          <w:lang w:eastAsia="ru-RU"/>
        </w:rPr>
        <w:t>срочны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 w:rsidRPr="00E019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условных </w:t>
      </w:r>
      <w:r w:rsidRPr="00E01966">
        <w:rPr>
          <w:rFonts w:ascii="Times New Roman" w:eastAsia="Times New Roman" w:hAnsi="Times New Roman"/>
          <w:i/>
          <w:sz w:val="24"/>
          <w:szCs w:val="24"/>
          <w:lang w:eastAsia="ru-RU"/>
        </w:rPr>
        <w:t>вклад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0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увеличившиеся за квартал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7,1</w:t>
      </w:r>
      <w:r w:rsidRPr="002B0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</w:t>
      </w:r>
      <w:r w:rsidRPr="002B0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19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остатков на текущих 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Pr="00E01966">
        <w:rPr>
          <w:rFonts w:ascii="Times New Roman" w:eastAsia="Times New Roman" w:hAnsi="Times New Roman"/>
          <w:i/>
          <w:sz w:val="24"/>
          <w:szCs w:val="24"/>
          <w:lang w:eastAsia="ru-RU"/>
        </w:rPr>
        <w:t>арт-счетах</w:t>
      </w:r>
      <w:r w:rsidRPr="002B0ABA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долей 9</w:t>
      </w:r>
      <w:r w:rsidRPr="002B0AB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B0ABA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B0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Т403,6</w:t>
      </w:r>
      <w:r w:rsidRPr="002B0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млрд.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уменьшившиеся </w:t>
      </w:r>
      <w:r w:rsidRPr="00C26F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кварт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 на 12,9%,</w:t>
      </w:r>
      <w:r w:rsidRPr="002B0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0AB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E01966">
        <w:rPr>
          <w:rFonts w:ascii="Times New Roman" w:eastAsia="Times New Roman" w:hAnsi="Times New Roman"/>
          <w:i/>
          <w:sz w:val="24"/>
          <w:szCs w:val="24"/>
          <w:lang w:eastAsia="ru-RU"/>
        </w:rPr>
        <w:t>вклад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</w:t>
      </w:r>
      <w:r w:rsidRPr="00E019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 востребования</w:t>
      </w:r>
      <w:r w:rsidRPr="002B0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долей </w:t>
      </w:r>
      <w:r w:rsidRPr="00B967D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B0AB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967D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B0ABA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B0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0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Т3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2B0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2B0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млрд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</w:t>
      </w:r>
      <w:r w:rsidRPr="00A77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выросшие</w:t>
      </w:r>
      <w:r w:rsidRPr="002B0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квартал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6,4 %.</w:t>
      </w:r>
      <w:proofErr w:type="gramEnd"/>
    </w:p>
    <w:p w:rsidR="00A752CD" w:rsidRPr="008B3E58" w:rsidRDefault="00A752CD" w:rsidP="00A752CD">
      <w:pPr>
        <w:spacing w:before="120" w:after="120" w:line="21" w:lineRule="atLeast"/>
        <w:ind w:firstLine="567"/>
        <w:jc w:val="both"/>
        <w:rPr>
          <w:rFonts w:ascii="Times New Roman" w:hAnsi="Times New Roman"/>
          <w:b/>
          <w:i/>
          <w:noProof/>
          <w:lang w:eastAsia="ru-RU"/>
        </w:rPr>
      </w:pPr>
      <w:r w:rsidRPr="008B3E58">
        <w:rPr>
          <w:rFonts w:ascii="Times New Roman" w:hAnsi="Times New Roman"/>
          <w:b/>
          <w:i/>
          <w:noProof/>
          <w:lang w:eastAsia="ru-RU"/>
        </w:rPr>
        <w:t xml:space="preserve">Рисунок 1. </w:t>
      </w:r>
      <w:r w:rsidRPr="008B3E58">
        <w:rPr>
          <w:rFonts w:ascii="Times New Roman" w:hAnsi="Times New Roman"/>
          <w:b/>
          <w:i/>
          <w:noProof/>
          <w:sz w:val="20"/>
          <w:szCs w:val="20"/>
          <w:lang w:eastAsia="ru-RU"/>
        </w:rPr>
        <w:t>Структура розничных депозитов по основным категориям (млрд. тенге)</w:t>
      </w:r>
    </w:p>
    <w:p w:rsidR="00A752CD" w:rsidRPr="009C5AF2" w:rsidRDefault="00A752CD" w:rsidP="00A752CD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noProof/>
          <w:lang w:eastAsia="ru-RU"/>
        </w:rPr>
        <w:drawing>
          <wp:inline distT="0" distB="0" distL="0" distR="0" wp14:anchorId="66559096" wp14:editId="7B98AA79">
            <wp:extent cx="6038850" cy="21907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52CD" w:rsidRPr="000950A3" w:rsidRDefault="00A752CD" w:rsidP="00A752CD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0950A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Срочные и условные вклады до Т5 млн.,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занимают</w:t>
      </w:r>
      <w:r w:rsidRPr="00DA4700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A4700">
        <w:rPr>
          <w:rFonts w:ascii="Times New Roman" w:eastAsia="Times New Roman" w:hAnsi="Times New Roman"/>
          <w:sz w:val="24"/>
          <w:szCs w:val="24"/>
          <w:lang w:eastAsia="ru-RU"/>
        </w:rPr>
        <w:t>,1%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,2 трлн</w:t>
      </w:r>
      <w:r w:rsidRPr="00DA47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A47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портфеля депозитов банков-участников, з</w:t>
      </w:r>
      <w:r w:rsidRPr="00DA4700">
        <w:rPr>
          <w:rFonts w:ascii="Times New Roman" w:eastAsia="Times New Roman" w:hAnsi="Times New Roman"/>
          <w:sz w:val="24"/>
          <w:szCs w:val="24"/>
          <w:lang w:eastAsia="ru-RU"/>
        </w:rPr>
        <w:t>а квартал вырос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шие</w:t>
      </w:r>
      <w:r w:rsidRPr="00DA47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0C15">
        <w:rPr>
          <w:rFonts w:ascii="Times New Roman" w:eastAsia="Times New Roman" w:hAnsi="Times New Roman"/>
          <w:sz w:val="24"/>
          <w:szCs w:val="24"/>
          <w:lang w:eastAsia="ru-RU"/>
        </w:rPr>
        <w:t>на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3F0C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F0C15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вкладов в иностранной валюте.</w:t>
      </w:r>
      <w:r w:rsidRPr="000950A3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0950A3">
        <w:rPr>
          <w:rFonts w:ascii="Times New Roman" w:eastAsia="Times New Roman" w:hAnsi="Times New Roman"/>
          <w:i/>
          <w:sz w:val="24"/>
          <w:szCs w:val="24"/>
          <w:lang w:eastAsia="it-IT"/>
        </w:rPr>
        <w:t>Срочные вклады с суммами от Т5 до Т15 млн</w:t>
      </w:r>
      <w:r w:rsidRPr="000950A3">
        <w:rPr>
          <w:rFonts w:ascii="Times New Roman" w:eastAsia="Times New Roman" w:hAnsi="Times New Roman"/>
          <w:sz w:val="24"/>
          <w:szCs w:val="24"/>
          <w:lang w:eastAsia="it-IT"/>
        </w:rPr>
        <w:t xml:space="preserve">., </w:t>
      </w:r>
      <w:r w:rsidRPr="0014616E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рассматриваемый 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сократились на Т1,0</w:t>
      </w:r>
      <w:r w:rsidRPr="0014616E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и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</w:t>
      </w:r>
      <w:r w:rsidRPr="0014616E">
        <w:rPr>
          <w:rFonts w:ascii="Times New Roman" w:eastAsia="Times New Roman" w:hAnsi="Times New Roman"/>
          <w:sz w:val="24"/>
          <w:szCs w:val="24"/>
          <w:lang w:eastAsia="ru-RU"/>
        </w:rPr>
        <w:t>12,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 w:rsidRPr="0014616E">
        <w:rPr>
          <w:rFonts w:ascii="Times New Roman" w:eastAsia="Times New Roman" w:hAnsi="Times New Roman"/>
          <w:sz w:val="24"/>
          <w:szCs w:val="24"/>
          <w:lang w:eastAsia="ru-RU"/>
        </w:rPr>
        <w:t>% от совокупно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объема депозитов</w:t>
      </w:r>
      <w:r w:rsidRPr="000950A3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0950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Срочные и условные вклады свыше Т15 млн., 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занимающие самую большую долю в портфеле депозитов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47,0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>%, выросли на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225,8 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млрд. </w:t>
      </w:r>
      <w:r w:rsidRPr="000950A3">
        <w:rPr>
          <w:rFonts w:ascii="Times New Roman" w:eastAsia="Times New Roman" w:hAnsi="Times New Roman"/>
          <w:i/>
          <w:sz w:val="24"/>
          <w:szCs w:val="24"/>
          <w:lang w:eastAsia="it-IT"/>
        </w:rPr>
        <w:t>Вклады до востребования</w:t>
      </w:r>
      <w:r w:rsidRPr="000950A3">
        <w:rPr>
          <w:rFonts w:ascii="Times New Roman" w:eastAsia="Times New Roman" w:hAnsi="Times New Roman"/>
          <w:sz w:val="24"/>
          <w:szCs w:val="24"/>
          <w:lang w:eastAsia="it-IT"/>
        </w:rPr>
        <w:t xml:space="preserve"> насел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ения за квартал увеличились на</w:t>
      </w:r>
      <w:r w:rsidRPr="000950A3">
        <w:rPr>
          <w:rFonts w:ascii="Times New Roman" w:eastAsia="Times New Roman" w:hAnsi="Times New Roman"/>
          <w:sz w:val="24"/>
          <w:szCs w:val="24"/>
          <w:lang w:eastAsia="it-IT"/>
        </w:rPr>
        <w:t xml:space="preserve"> 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proofErr w:type="gramEnd"/>
      <w:r w:rsidRPr="000950A3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3</w:t>
      </w:r>
      <w:r w:rsidRPr="000950A3">
        <w:rPr>
          <w:rFonts w:ascii="Times New Roman" w:eastAsia="Times New Roman" w:hAnsi="Times New Roman"/>
          <w:sz w:val="24"/>
          <w:szCs w:val="24"/>
          <w:lang w:eastAsia="it-IT"/>
        </w:rPr>
        <w:t xml:space="preserve"> млрд., доля которых по-прежнему составляет 0,9% от всей депозитной базы физических лиц. </w:t>
      </w:r>
      <w:r w:rsidRPr="00095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Сумма </w:t>
      </w:r>
      <w:r w:rsidRPr="000950A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остатков </w:t>
      </w:r>
      <w:proofErr w:type="gramStart"/>
      <w:r w:rsidRPr="000950A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</w:t>
      </w:r>
      <w:proofErr w:type="gramEnd"/>
      <w:r w:rsidRPr="000950A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текущих и карт-счетах</w:t>
      </w:r>
      <w:r w:rsidRPr="00095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677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меньшилась </w:t>
      </w:r>
      <w:r w:rsidRPr="000F677A">
        <w:rPr>
          <w:rFonts w:ascii="Times New Roman" w:eastAsia="Times New Roman" w:hAnsi="Times New Roman"/>
          <w:sz w:val="24"/>
          <w:szCs w:val="24"/>
          <w:lang w:eastAsia="ru-RU"/>
        </w:rPr>
        <w:t>на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59,6</w:t>
      </w:r>
      <w:r w:rsidRPr="000F677A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</w:t>
      </w:r>
      <w:r w:rsidRPr="00095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составила Т403,6 млрд.</w:t>
      </w:r>
    </w:p>
    <w:p w:rsidR="00A752CD" w:rsidRDefault="00A752CD" w:rsidP="00A752CD">
      <w:pPr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Дополнительно, хотелось бы отметить,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>,4% всех розничных депозитов, или Т2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>2,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млрд., в том числе суммы </w:t>
      </w:r>
      <w:proofErr w:type="gramStart"/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>текущих</w:t>
      </w:r>
      <w:proofErr w:type="gramEnd"/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карт-счетах, принадлежат руководящим работникам, а также акционерам, владеющим 5% и более % - акций с правом голоса, их близким родственникам.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Общий рост депозитов аффилированных лиц за период составил Т50,8 млрд. (+24,0%).</w:t>
      </w:r>
    </w:p>
    <w:p w:rsidR="00A752CD" w:rsidRPr="000950A3" w:rsidRDefault="00A752CD" w:rsidP="00A752CD">
      <w:pPr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CB9">
        <w:rPr>
          <w:rFonts w:ascii="Times New Roman" w:hAnsi="Times New Roman"/>
          <w:sz w:val="24"/>
          <w:szCs w:val="24"/>
        </w:rPr>
        <w:t>Совокупная сумма гарантийного возмещения по депозитам физических лиц в БВУ, подлежащая выплате Фондо</w:t>
      </w:r>
      <w:r>
        <w:rPr>
          <w:rFonts w:ascii="Times New Roman" w:hAnsi="Times New Roman"/>
          <w:sz w:val="24"/>
          <w:szCs w:val="24"/>
        </w:rPr>
        <w:t>м, по состоянию на 1 апреля 2014</w:t>
      </w:r>
      <w:r w:rsidRPr="00CE5CB9">
        <w:rPr>
          <w:rFonts w:ascii="Times New Roman" w:hAnsi="Times New Roman"/>
          <w:sz w:val="24"/>
          <w:szCs w:val="24"/>
        </w:rPr>
        <w:t xml:space="preserve"> г. достигла Т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,1</w:t>
      </w:r>
      <w:r w:rsidRPr="00CE5CB9">
        <w:rPr>
          <w:rFonts w:ascii="Times New Roman" w:hAnsi="Times New Roman"/>
          <w:sz w:val="24"/>
          <w:szCs w:val="24"/>
        </w:rPr>
        <w:t xml:space="preserve"> трлн. При этом специальный резерв Фонда на отчетную </w:t>
      </w:r>
      <w:r>
        <w:rPr>
          <w:rFonts w:ascii="Times New Roman" w:hAnsi="Times New Roman"/>
          <w:sz w:val="24"/>
          <w:szCs w:val="24"/>
        </w:rPr>
        <w:t xml:space="preserve">дату составляет  Т184,8 млрд. </w:t>
      </w:r>
      <w:r w:rsidRPr="00C757C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ез учета средств уставного капитала Фонда.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в случае дефицита специального резерва Фонд с разрешения Акционера вправе использовать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150F">
        <w:rPr>
          <w:rFonts w:ascii="Times New Roman" w:eastAsia="Times New Roman" w:hAnsi="Times New Roman"/>
          <w:sz w:val="24"/>
          <w:szCs w:val="24"/>
          <w:lang w:eastAsia="ru-RU"/>
        </w:rPr>
        <w:t>0%  уставного капитала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>. Таким образом, максимально возможный размер специального резерва на отчетную дату состав</w:t>
      </w:r>
      <w:r w:rsidRPr="000950A3">
        <w:rPr>
          <w:rFonts w:ascii="Times New Roman" w:eastAsia="Times New Roman" w:hAnsi="Times New Roman"/>
          <w:sz w:val="24"/>
          <w:szCs w:val="24"/>
          <w:lang w:val="kk-KZ" w:eastAsia="ru-RU"/>
        </w:rPr>
        <w:t>и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>л Т2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87,5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</w:t>
      </w:r>
    </w:p>
    <w:p w:rsidR="00A752CD" w:rsidRDefault="00A752CD" w:rsidP="00A752C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>По итогам отчетного квартала согласно системе расчетов дифференцированных ставок обязател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ьных календарных взносов «БАТА»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>-участник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 ухудшили свои </w:t>
      </w:r>
      <w:proofErr w:type="gramStart"/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  <w:proofErr w:type="gramEnd"/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перешли в группу с большей ставкой взноса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банков-участников перешли в группы с более высоким рейтингом и соответственно низкими ставками календарных взносов;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банка-участника определены в классификационную группу «</w:t>
      </w:r>
      <w:r w:rsidRPr="000950A3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» с ежеквартальной ставкой 0,5%. 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>В итоге, доли банков в классификационных группах распределились следующим образом: доля группы «</w:t>
      </w:r>
      <w:r w:rsidRPr="000F47A0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 xml:space="preserve">» составила 2,9%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(1 банк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>), доля группы «</w:t>
      </w:r>
      <w:r w:rsidRPr="000F47A0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5,7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>), доля группы «</w:t>
      </w:r>
      <w:r w:rsidRPr="000F47A0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>» -</w:t>
      </w:r>
      <w:r w:rsidRPr="00401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48,6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>% (1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банков), доля группы «</w:t>
      </w:r>
      <w:r w:rsidRPr="000F47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>» - 28,6% (1</w:t>
      </w:r>
      <w:r w:rsidRPr="00401A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банков), доля группы «Е» - 5,7%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банка</w:t>
      </w:r>
      <w:r w:rsidRPr="000F47A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доля группы «</w:t>
      </w:r>
      <w:r w:rsidRPr="000F47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8,6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F47A0">
        <w:rPr>
          <w:rFonts w:ascii="Times New Roman" w:hAnsi="Times New Roman"/>
          <w:color w:val="000000"/>
          <w:sz w:val="24"/>
          <w:szCs w:val="24"/>
        </w:rPr>
        <w:t xml:space="preserve"> банк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F47A0">
        <w:rPr>
          <w:rFonts w:ascii="Times New Roman" w:hAnsi="Times New Roman"/>
          <w:color w:val="000000"/>
          <w:sz w:val="24"/>
          <w:szCs w:val="24"/>
        </w:rPr>
        <w:t>)</w:t>
      </w:r>
      <w:r w:rsidRPr="00401AC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752CD" w:rsidRDefault="00A752CD" w:rsidP="00A752CD">
      <w:pPr>
        <w:spacing w:after="120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A752CD" w:rsidRPr="00B457E8" w:rsidRDefault="00A752CD" w:rsidP="00A752CD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0A3">
        <w:rPr>
          <w:rFonts w:ascii="Times New Roman" w:hAnsi="Times New Roman"/>
          <w:b/>
          <w:i/>
          <w:sz w:val="20"/>
          <w:szCs w:val="20"/>
          <w:lang w:eastAsia="ru-RU"/>
        </w:rPr>
        <w:t xml:space="preserve">Диаграмма 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>2</w:t>
      </w:r>
      <w:r w:rsidRPr="000950A3">
        <w:rPr>
          <w:rFonts w:ascii="Times New Roman" w:hAnsi="Times New Roman"/>
          <w:b/>
          <w:i/>
          <w:sz w:val="20"/>
          <w:szCs w:val="20"/>
          <w:lang w:eastAsia="ru-RU"/>
        </w:rPr>
        <w:t xml:space="preserve">. Поквартальная динамика банков в  классификационных группах Системы «БАТА» </w:t>
      </w:r>
    </w:p>
    <w:p w:rsidR="00A752CD" w:rsidRPr="000950A3" w:rsidRDefault="00A752CD" w:rsidP="00A752C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D0D7F3" wp14:editId="28F93FA6">
            <wp:extent cx="4819650" cy="2447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52CD" w:rsidRPr="000950A3" w:rsidRDefault="00A752CD" w:rsidP="00A752CD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Совокупная сумма обязательных календарных взносов, уплаченная банками за </w:t>
      </w:r>
      <w:r w:rsidR="004C774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>-й квартал 201</w:t>
      </w:r>
      <w:r w:rsidR="004C77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составила Т</w:t>
      </w:r>
      <w:r w:rsidR="004C774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77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950A3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</w:t>
      </w:r>
      <w:bookmarkStart w:id="0" w:name="_GoBack"/>
      <w:bookmarkEnd w:id="0"/>
    </w:p>
    <w:p w:rsidR="00A752CD" w:rsidRDefault="00A752CD" w:rsidP="00A752CD">
      <w:pPr>
        <w:tabs>
          <w:tab w:val="left" w:pos="6885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E5CB9">
        <w:rPr>
          <w:rFonts w:ascii="Times New Roman" w:hAnsi="Times New Roman"/>
          <w:sz w:val="24"/>
          <w:szCs w:val="24"/>
        </w:rPr>
        <w:t>Совокупная сумма гарантийного возмещения по депозитам физических лиц в БВУ, подлежащая выплате Фондо</w:t>
      </w:r>
      <w:r>
        <w:rPr>
          <w:rFonts w:ascii="Times New Roman" w:hAnsi="Times New Roman"/>
          <w:sz w:val="24"/>
          <w:szCs w:val="24"/>
        </w:rPr>
        <w:t>м, по состоянию на 1 апреля 2014</w:t>
      </w:r>
      <w:r w:rsidRPr="00CE5CB9">
        <w:rPr>
          <w:rFonts w:ascii="Times New Roman" w:hAnsi="Times New Roman"/>
          <w:sz w:val="24"/>
          <w:szCs w:val="24"/>
        </w:rPr>
        <w:t xml:space="preserve"> г. достигла Т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,1</w:t>
      </w:r>
      <w:r w:rsidRPr="00CE5CB9">
        <w:rPr>
          <w:rFonts w:ascii="Times New Roman" w:hAnsi="Times New Roman"/>
          <w:sz w:val="24"/>
          <w:szCs w:val="24"/>
        </w:rPr>
        <w:t xml:space="preserve"> трлн. При этом специальный резерв Фонда на отчетную </w:t>
      </w:r>
      <w:r>
        <w:rPr>
          <w:rFonts w:ascii="Times New Roman" w:hAnsi="Times New Roman"/>
          <w:sz w:val="24"/>
          <w:szCs w:val="24"/>
        </w:rPr>
        <w:t xml:space="preserve">дату составляет  Т184,8 млрд. </w:t>
      </w:r>
      <w:r w:rsidRPr="00C757C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ез учета средств уставного капитала Фонда.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В случае необходимости Фонд по решению Акционера может использовать до 70% уставного капитала для пополнения дефицита специального резерва Фонда, который в этом случае достигнет </w:t>
      </w:r>
      <w:r>
        <w:rPr>
          <w:rFonts w:ascii="Times New Roman" w:hAnsi="Times New Roman"/>
          <w:sz w:val="24"/>
          <w:szCs w:val="24"/>
        </w:rPr>
        <w:t>Т287</w:t>
      </w:r>
      <w:r w:rsidRPr="00CE5C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5 млрд., </w:t>
      </w:r>
      <w:r w:rsidRPr="005A2AEB">
        <w:rPr>
          <w:rFonts w:ascii="Times New Roman" w:hAnsi="Times New Roman"/>
          <w:sz w:val="24"/>
          <w:szCs w:val="24"/>
        </w:rPr>
        <w:t>или 1</w:t>
      </w:r>
      <w:r>
        <w:rPr>
          <w:rFonts w:ascii="Times New Roman" w:hAnsi="Times New Roman"/>
          <w:sz w:val="24"/>
          <w:szCs w:val="24"/>
        </w:rPr>
        <w:t xml:space="preserve">3,5% от совокупной суммы </w:t>
      </w:r>
      <w:r w:rsidRPr="005A2AEB">
        <w:rPr>
          <w:rFonts w:ascii="Times New Roman" w:hAnsi="Times New Roman"/>
          <w:sz w:val="24"/>
          <w:szCs w:val="24"/>
        </w:rPr>
        <w:t xml:space="preserve">гарантийного возмещения и </w:t>
      </w:r>
      <w:r>
        <w:rPr>
          <w:rFonts w:ascii="Times New Roman" w:hAnsi="Times New Roman"/>
          <w:sz w:val="24"/>
          <w:szCs w:val="24"/>
        </w:rPr>
        <w:t xml:space="preserve">7,0 </w:t>
      </w:r>
      <w:r w:rsidRPr="005A2AEB">
        <w:rPr>
          <w:rFonts w:ascii="Times New Roman" w:hAnsi="Times New Roman"/>
          <w:sz w:val="24"/>
          <w:szCs w:val="24"/>
        </w:rPr>
        <w:t>% от общей суммы депозитов.</w:t>
      </w:r>
    </w:p>
    <w:p w:rsidR="00A752CD" w:rsidRDefault="00A752CD" w:rsidP="00A752CD">
      <w:pPr>
        <w:tabs>
          <w:tab w:val="left" w:pos="6885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Совокупная сумма выплаченного гарантийного возмещения Фондом по состоянию на 1 мая составила Т679,5 млн. по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Наурыз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Банку</w:t>
      </w:r>
      <w:r>
        <w:rPr>
          <w:rFonts w:ascii="Times New Roman" w:hAnsi="Times New Roman"/>
          <w:sz w:val="24"/>
          <w:szCs w:val="24"/>
        </w:rPr>
        <w:t xml:space="preserve"> и Т13,9 млрд. по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Валют-Транзит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Банку</w:t>
      </w:r>
      <w:r>
        <w:rPr>
          <w:rFonts w:ascii="Times New Roman" w:hAnsi="Times New Roman"/>
          <w:sz w:val="24"/>
          <w:szCs w:val="24"/>
        </w:rPr>
        <w:t xml:space="preserve">. Сумма, полученная в порядке удовлетворения требований Фонда по суммам выплаченного гарантийного возмещения ликвидационной комиссией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Наурыз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Банка</w:t>
      </w:r>
      <w:r>
        <w:rPr>
          <w:rFonts w:ascii="Times New Roman" w:hAnsi="Times New Roman"/>
          <w:sz w:val="24"/>
          <w:szCs w:val="24"/>
        </w:rPr>
        <w:t xml:space="preserve"> достигла Т679,4 млн. или 88,01%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совокупной суммы требований Фонда к ликвидационной комиссии, а по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Валют-Транзит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Банку </w:t>
      </w:r>
      <w:r>
        <w:rPr>
          <w:rFonts w:ascii="Times New Roman" w:hAnsi="Times New Roman"/>
          <w:sz w:val="24"/>
          <w:szCs w:val="24"/>
        </w:rPr>
        <w:t>– Т8,2 млрд. или около 58% от совокупной суммы требований Фонда.</w:t>
      </w:r>
    </w:p>
    <w:p w:rsidR="00A752CD" w:rsidRPr="00BD3DD9" w:rsidRDefault="00A752CD" w:rsidP="00A752CD">
      <w:pPr>
        <w:tabs>
          <w:tab w:val="left" w:pos="6885"/>
        </w:tabs>
        <w:spacing w:after="12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0950A3">
        <w:rPr>
          <w:rFonts w:ascii="Times New Roman" w:hAnsi="Times New Roman"/>
          <w:sz w:val="24"/>
          <w:szCs w:val="24"/>
        </w:rPr>
        <w:br w:type="page"/>
      </w:r>
      <w:r w:rsidRPr="00BD3DD9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tbl>
      <w:tblPr>
        <w:tblW w:w="9657" w:type="dxa"/>
        <w:tblInd w:w="92" w:type="dxa"/>
        <w:tblLook w:val="04A0" w:firstRow="1" w:lastRow="0" w:firstColumn="1" w:lastColumn="0" w:noHBand="0" w:noVBand="1"/>
      </w:tblPr>
      <w:tblGrid>
        <w:gridCol w:w="16"/>
        <w:gridCol w:w="591"/>
        <w:gridCol w:w="3662"/>
        <w:gridCol w:w="1904"/>
        <w:gridCol w:w="1570"/>
        <w:gridCol w:w="104"/>
        <w:gridCol w:w="1465"/>
        <w:gridCol w:w="345"/>
      </w:tblGrid>
      <w:tr w:rsidR="00A752CD" w:rsidRPr="00132BF5" w:rsidTr="006207CE">
        <w:trPr>
          <w:gridBefore w:val="1"/>
          <w:wBefore w:w="16" w:type="dxa"/>
          <w:trHeight w:val="510"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2CD" w:rsidRPr="00132BF5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Свод сведений банков-участников по депозитам физических лиц</w:t>
            </w:r>
          </w:p>
        </w:tc>
      </w:tr>
      <w:tr w:rsidR="00A752CD" w:rsidRPr="00132BF5" w:rsidTr="006207CE">
        <w:trPr>
          <w:gridBefore w:val="1"/>
          <w:wBefore w:w="16" w:type="dxa"/>
          <w:trHeight w:val="255"/>
        </w:trPr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2CD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B457E8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по состоянию на </w:t>
            </w:r>
            <w:r w:rsidRPr="00B457E8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 апреля 2014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B457E8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г.</w:t>
            </w:r>
          </w:p>
          <w:p w:rsidR="00A752CD" w:rsidRPr="00B457E8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CD" w:rsidRPr="00132BF5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D2E" w:rsidRPr="00D82A04" w:rsidTr="00F97D2E">
        <w:tblPrEx>
          <w:jc w:val="center"/>
        </w:tblPrEx>
        <w:trPr>
          <w:gridAfter w:val="1"/>
          <w:wAfter w:w="345" w:type="dxa"/>
          <w:trHeight w:val="732"/>
          <w:jc w:val="center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F97D2E" w:rsidRPr="00D82A04" w:rsidRDefault="00F97D2E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F97D2E" w:rsidRPr="00D82A04" w:rsidRDefault="00F97D2E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F97D2E" w:rsidRPr="00D82A04" w:rsidRDefault="00F97D2E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F97D2E" w:rsidRPr="00D82A04" w:rsidRDefault="00F97D2E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Изменение за 1-ый квартал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F97D2E" w:rsidRPr="00D82A04" w:rsidRDefault="00F97D2E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счетов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581"/>
          <w:jc w:val="center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депозитов физических лиц в тенге и иностранной валюте, в том числе: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4 131 590 798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186 085 263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21 486 319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255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Вклады до востребования, в том числе: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38 451 714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2 300 195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1 619 542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255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тенге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17 068 542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-3 573 171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1 491 985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255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иностранной валюте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21 383 172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5 873 366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127 557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1000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Вклады до востребования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7 709 643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2 834 210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263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Срочные и условные вклады, в том числе: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3 689 495 565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243 357 806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2 336 832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255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тенге, в том числе: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1 526 558 594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-251 850 643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1 751 264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255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1000 тысяч тенге включительно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276 639 845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-10 378 997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1 439 728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510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1000 тысяч тенге до 3000 тысяч тенге включительно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363 199 414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-24 614 921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223 109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510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3000 тысяч тенге до 5000 тысяч тенге включительно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195 442 156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-11 855 989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50 716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510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5000 тысяч тенге до 10 000 тысяч тенге включительно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164 887 111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-36 605 687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25 808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510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10 000 тысяч тенге до 15 000 тысяч тенге включительно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55 855 314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-19 658 303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4 681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255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свыше 15 000 тысяч тенге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470 534 754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-148 736 746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7 222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255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иностранной валюте, в том числе: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2 162 936 971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495 208 449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585 568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255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1000 тысяч тенге включительно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82 030 815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4 210 446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397 755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510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1000 тысяч тенге до 3 000 тысяч тенге включительно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176 496 702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30 368 240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99 467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510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3 000 тысяч тенге до 5 000 тысяч тенге включительно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148 652 697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30 877 011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37 590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510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5 000 тысяч тенге до 10 000 тысяч тенге включительно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193 649 480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40 161 706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28 341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510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10 000 тысяч тенге до 15 000 тысяч тенге включительно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91 386 902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15 093 340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7 545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255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свыше 15 000 тысяч тенге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1 470 720 374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374 497 705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14 870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810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Срочные и условные вклады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251 893 284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47 824 431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1 747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553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Остатки денег на текущих счетах (с учетом остатков денег на </w:t>
            </w:r>
            <w:proofErr w:type="gramStart"/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карт-счетах</w:t>
            </w:r>
            <w:proofErr w:type="gramEnd"/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в том числе: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403 643 519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-59 572 738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17 529 945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255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тенге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339 988 364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-69 067 059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16 675 912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255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иностранной валюте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63 655 155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9 494 321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854 033</w:t>
            </w:r>
          </w:p>
        </w:tc>
      </w:tr>
      <w:tr w:rsidR="00A752CD" w:rsidRPr="00D82A04" w:rsidTr="00487CD2">
        <w:tblPrEx>
          <w:jc w:val="center"/>
        </w:tblPrEx>
        <w:trPr>
          <w:gridAfter w:val="1"/>
          <w:wAfter w:w="345" w:type="dxa"/>
          <w:trHeight w:val="1150"/>
          <w:jc w:val="center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6207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Остатки денег на текущих счетах (с учетом остатков денег на </w:t>
            </w:r>
            <w:proofErr w:type="gramStart"/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карт-счетах</w:t>
            </w:r>
            <w:proofErr w:type="gramEnd"/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3 210 014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127 689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CD" w:rsidRPr="00D82A04" w:rsidRDefault="00A752CD" w:rsidP="0048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2A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7 151</w:t>
            </w:r>
          </w:p>
        </w:tc>
      </w:tr>
    </w:tbl>
    <w:p w:rsidR="00A752CD" w:rsidRPr="000950A3" w:rsidRDefault="00A752CD" w:rsidP="00A752CD">
      <w:pPr>
        <w:tabs>
          <w:tab w:val="left" w:pos="6885"/>
        </w:tabs>
        <w:spacing w:after="120"/>
        <w:ind w:firstLine="567"/>
        <w:jc w:val="both"/>
        <w:rPr>
          <w:rFonts w:ascii="Times New Roman" w:eastAsia="Times New Roman" w:hAnsi="Times New Roman"/>
          <w:color w:val="0000CC"/>
          <w:sz w:val="24"/>
          <w:szCs w:val="24"/>
          <w:lang w:eastAsia="ru-RU"/>
        </w:rPr>
      </w:pPr>
    </w:p>
    <w:p w:rsidR="00F811DD" w:rsidRDefault="00F811DD"/>
    <w:sectPr w:rsidR="00F811DD" w:rsidSect="003F4014">
      <w:headerReference w:type="default" r:id="rId10"/>
      <w:pgSz w:w="11906" w:h="16838"/>
      <w:pgMar w:top="993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DD" w:rsidRDefault="00705DDD" w:rsidP="00A752CD">
      <w:pPr>
        <w:spacing w:after="0" w:line="240" w:lineRule="auto"/>
      </w:pPr>
      <w:r>
        <w:separator/>
      </w:r>
    </w:p>
  </w:endnote>
  <w:endnote w:type="continuationSeparator" w:id="0">
    <w:p w:rsidR="00705DDD" w:rsidRDefault="00705DDD" w:rsidP="00A7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DD" w:rsidRDefault="00705DDD" w:rsidP="00A752CD">
      <w:pPr>
        <w:spacing w:after="0" w:line="240" w:lineRule="auto"/>
      </w:pPr>
      <w:r>
        <w:separator/>
      </w:r>
    </w:p>
  </w:footnote>
  <w:footnote w:type="continuationSeparator" w:id="0">
    <w:p w:rsidR="00705DDD" w:rsidRDefault="00705DDD" w:rsidP="00A7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CD" w:rsidRPr="00065EE1" w:rsidRDefault="00A752CD" w:rsidP="00A752CD">
    <w:pPr>
      <w:tabs>
        <w:tab w:val="center" w:pos="4677"/>
        <w:tab w:val="right" w:pos="9355"/>
      </w:tabs>
      <w:spacing w:after="0" w:line="240" w:lineRule="auto"/>
      <w:ind w:left="709"/>
      <w:rPr>
        <w:rFonts w:ascii="Times New Roman" w:hAnsi="Times New Roman" w:cs="Mangal"/>
        <w:i/>
        <w:sz w:val="18"/>
        <w:szCs w:val="18"/>
        <w:lang w:eastAsia="x-none" w:bidi="sa-IN"/>
      </w:rPr>
    </w:pPr>
    <w:r>
      <w:rPr>
        <w:rFonts w:ascii="Times New Roman" w:hAnsi="Times New Roman" w:cs="Mangal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768E90D" wp14:editId="6EC18604">
          <wp:simplePos x="0" y="0"/>
          <wp:positionH relativeFrom="column">
            <wp:posOffset>-69215</wp:posOffset>
          </wp:positionH>
          <wp:positionV relativeFrom="paragraph">
            <wp:posOffset>-38100</wp:posOffset>
          </wp:positionV>
          <wp:extent cx="443230" cy="378460"/>
          <wp:effectExtent l="0" t="0" r="0" b="2540"/>
          <wp:wrapSquare wrapText="bothSides"/>
          <wp:docPr id="4" name="Рисунок 4" descr="C:\Documents and Settings\User\Мои документы\Mои рисунки\KDIF\KDIF3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Documents and Settings\User\Мои документы\Mои рисунки\KDIF\KDIF3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EE1">
      <w:rPr>
        <w:rFonts w:ascii="Times New Roman" w:hAnsi="Times New Roman" w:cs="Mangal"/>
        <w:i/>
        <w:sz w:val="18"/>
        <w:szCs w:val="18"/>
        <w:lang w:val="x-none" w:eastAsia="x-none" w:bidi="sa-IN"/>
      </w:rPr>
      <w:t>Казахстанский фонд гарантирования депозитов</w:t>
    </w:r>
  </w:p>
  <w:p w:rsidR="00A752CD" w:rsidRPr="003F4014" w:rsidRDefault="00684AD5" w:rsidP="003F4014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ind w:left="709"/>
      <w:rPr>
        <w:rFonts w:ascii="Times New Roman" w:hAnsi="Times New Roman" w:cs="Mangal"/>
        <w:i/>
        <w:sz w:val="18"/>
        <w:szCs w:val="18"/>
        <w:lang w:eastAsia="x-none" w:bidi="sa-IN"/>
      </w:rPr>
    </w:pPr>
    <w:r>
      <w:rPr>
        <w:rFonts w:ascii="Times New Roman" w:hAnsi="Times New Roman" w:cs="Mangal"/>
        <w:i/>
        <w:sz w:val="18"/>
        <w:szCs w:val="18"/>
        <w:lang w:eastAsia="x-none" w:bidi="sa-IN"/>
      </w:rPr>
      <w:t xml:space="preserve">Информационный </w:t>
    </w:r>
    <w:r w:rsidR="00A752CD" w:rsidRPr="00065EE1">
      <w:rPr>
        <w:rFonts w:ascii="Times New Roman" w:hAnsi="Times New Roman" w:cs="Mangal"/>
        <w:i/>
        <w:sz w:val="18"/>
        <w:szCs w:val="18"/>
        <w:lang w:val="x-none" w:eastAsia="x-none" w:bidi="sa-IN"/>
      </w:rPr>
      <w:t>обзор за</w:t>
    </w:r>
    <w:r>
      <w:rPr>
        <w:rFonts w:ascii="Times New Roman" w:hAnsi="Times New Roman" w:cs="Mangal"/>
        <w:i/>
        <w:sz w:val="18"/>
        <w:szCs w:val="18"/>
        <w:lang w:eastAsia="x-none" w:bidi="sa-IN"/>
      </w:rPr>
      <w:t xml:space="preserve"> 1 </w:t>
    </w:r>
    <w:r w:rsidR="00A752CD" w:rsidRPr="00065EE1">
      <w:rPr>
        <w:rFonts w:ascii="Times New Roman" w:hAnsi="Times New Roman" w:cs="Mangal"/>
        <w:i/>
        <w:sz w:val="18"/>
        <w:szCs w:val="18"/>
        <w:lang w:val="x-none" w:eastAsia="x-none" w:bidi="sa-IN"/>
      </w:rPr>
      <w:t>квартал 201</w:t>
    </w:r>
    <w:r w:rsidR="00A752CD" w:rsidRPr="00065EE1">
      <w:rPr>
        <w:rFonts w:ascii="Times New Roman" w:hAnsi="Times New Roman" w:cs="Mangal"/>
        <w:i/>
        <w:sz w:val="18"/>
        <w:szCs w:val="18"/>
        <w:lang w:eastAsia="x-none" w:bidi="sa-IN"/>
      </w:rPr>
      <w:t xml:space="preserve">4 </w:t>
    </w:r>
    <w:r w:rsidR="003F4014">
      <w:rPr>
        <w:rFonts w:ascii="Times New Roman" w:hAnsi="Times New Roman" w:cs="Mangal"/>
        <w:i/>
        <w:sz w:val="18"/>
        <w:szCs w:val="18"/>
        <w:lang w:val="x-none" w:eastAsia="x-none" w:bidi="sa-IN"/>
      </w:rPr>
      <w:t>г.</w:t>
    </w:r>
  </w:p>
  <w:p w:rsidR="00A752CD" w:rsidRDefault="00A752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B0"/>
    <w:rsid w:val="000D5FFA"/>
    <w:rsid w:val="003F4014"/>
    <w:rsid w:val="00487CD2"/>
    <w:rsid w:val="004C7740"/>
    <w:rsid w:val="004E1C77"/>
    <w:rsid w:val="00684AD5"/>
    <w:rsid w:val="00705DDD"/>
    <w:rsid w:val="00A752CD"/>
    <w:rsid w:val="00AD36B0"/>
    <w:rsid w:val="00CA150F"/>
    <w:rsid w:val="00DC20CE"/>
    <w:rsid w:val="00DE34DB"/>
    <w:rsid w:val="00E93C13"/>
    <w:rsid w:val="00F811DD"/>
    <w:rsid w:val="00F86856"/>
    <w:rsid w:val="00F97D2E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CD"/>
    <w:pPr>
      <w:ind w:left="720"/>
      <w:contextualSpacing/>
    </w:pPr>
  </w:style>
  <w:style w:type="paragraph" w:styleId="a4">
    <w:name w:val="No Spacing"/>
    <w:link w:val="a5"/>
    <w:uiPriority w:val="1"/>
    <w:qFormat/>
    <w:rsid w:val="00A752C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2CD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A752CD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7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52C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2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CD"/>
    <w:pPr>
      <w:ind w:left="720"/>
      <w:contextualSpacing/>
    </w:pPr>
  </w:style>
  <w:style w:type="paragraph" w:styleId="a4">
    <w:name w:val="No Spacing"/>
    <w:link w:val="a5"/>
    <w:uiPriority w:val="1"/>
    <w:qFormat/>
    <w:rsid w:val="00A752C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2CD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A752CD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7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52C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2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1%20&#1082;&#1074;&#1072;&#1088;&#1090;&#1072;&#1083;%202014\&#1064;&#1099;&#1085;&#1072;&#1088;\&#1076;&#1077;&#1074;&#1072;&#1083;&#1100;&#1074;&#1072;&#1094;&#1080;&#1103;%20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mas\Desktop\&#1050;&#1088;&#1072;&#1090;&#1082;&#1072;&#1103;%20&#1072;&#1085;&#1072;&#1083;&#1080;&#1090;&#1080;&#1082;&#1072;\&#1088;&#1072;&#1089;&#1095;&#1077;&#1090;&#1099;%20&#1076;&#1083;&#1103;%20&#1072;&#1085;&#1072;&#1083;&#1080;&#1079;&#1072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4\1%20&#1082;&#1074;&#1072;&#1088;&#1090;&#1072;&#1083;%202014\&#1050;&#1083;&#1072;&#1089;&#1089;&#1080;&#1092;&#1080;&#1082;&#1072;&#1094;&#1080;&#1086;&#1085;&#1085;&#1099;&#1077;%20&#1075;&#1088;&#1091;&#1087;&#1087;&#1099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6012859886917409E-2"/>
          <c:y val="1.5377231551681586E-2"/>
          <c:w val="0.95133276539112688"/>
          <c:h val="0.87244476963397866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Лист1!$C$340</c:f>
              <c:strCache>
                <c:ptCount val="1"/>
                <c:pt idx="0">
                  <c:v>Всего депозитов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Лист1!$D$335:$AC$337</c:f>
              <c:numCache>
                <c:formatCode>m/d/yyyy</c:formatCode>
                <c:ptCount val="26"/>
                <c:pt idx="0">
                  <c:v>39539</c:v>
                </c:pt>
                <c:pt idx="1">
                  <c:v>39630</c:v>
                </c:pt>
                <c:pt idx="2">
                  <c:v>39722</c:v>
                </c:pt>
                <c:pt idx="3">
                  <c:v>39814</c:v>
                </c:pt>
                <c:pt idx="4">
                  <c:v>39904</c:v>
                </c:pt>
                <c:pt idx="5">
                  <c:v>39995</c:v>
                </c:pt>
                <c:pt idx="6">
                  <c:v>40087</c:v>
                </c:pt>
                <c:pt idx="7">
                  <c:v>40179</c:v>
                </c:pt>
                <c:pt idx="8">
                  <c:v>40269</c:v>
                </c:pt>
                <c:pt idx="9">
                  <c:v>40360</c:v>
                </c:pt>
                <c:pt idx="10">
                  <c:v>40452</c:v>
                </c:pt>
                <c:pt idx="11">
                  <c:v>40544</c:v>
                </c:pt>
                <c:pt idx="12">
                  <c:v>40634</c:v>
                </c:pt>
                <c:pt idx="13">
                  <c:v>40725</c:v>
                </c:pt>
                <c:pt idx="14">
                  <c:v>40817</c:v>
                </c:pt>
                <c:pt idx="15">
                  <c:v>40909</c:v>
                </c:pt>
                <c:pt idx="16">
                  <c:v>41000</c:v>
                </c:pt>
                <c:pt idx="17">
                  <c:v>41091</c:v>
                </c:pt>
                <c:pt idx="18">
                  <c:v>41183</c:v>
                </c:pt>
                <c:pt idx="19">
                  <c:v>41275</c:v>
                </c:pt>
                <c:pt idx="20">
                  <c:v>41365</c:v>
                </c:pt>
                <c:pt idx="21">
                  <c:v>41456</c:v>
                </c:pt>
                <c:pt idx="22">
                  <c:v>41548</c:v>
                </c:pt>
                <c:pt idx="23">
                  <c:v>41640</c:v>
                </c:pt>
                <c:pt idx="24">
                  <c:v>41730</c:v>
                </c:pt>
              </c:numCache>
            </c:numRef>
          </c:cat>
          <c:val>
            <c:numRef>
              <c:f>Лист1!$D$340:$AC$340</c:f>
              <c:numCache>
                <c:formatCode>0.00%</c:formatCode>
                <c:ptCount val="26"/>
                <c:pt idx="0">
                  <c:v>3.5935115069947843E-2</c:v>
                </c:pt>
                <c:pt idx="1">
                  <c:v>-1.5463221325010323E-2</c:v>
                </c:pt>
                <c:pt idx="2">
                  <c:v>4.7079533322607503E-2</c:v>
                </c:pt>
                <c:pt idx="3">
                  <c:v>-2.9881579859127649E-2</c:v>
                </c:pt>
                <c:pt idx="4">
                  <c:v>7.6037657262030045E-2</c:v>
                </c:pt>
                <c:pt idx="5">
                  <c:v>1.3127434608526167E-2</c:v>
                </c:pt>
                <c:pt idx="6">
                  <c:v>0.14239298354272889</c:v>
                </c:pt>
                <c:pt idx="7">
                  <c:v>3.6515077202609048E-2</c:v>
                </c:pt>
                <c:pt idx="8">
                  <c:v>2.0818653023502609E-2</c:v>
                </c:pt>
                <c:pt idx="9">
                  <c:v>3.2165973974262574E-2</c:v>
                </c:pt>
                <c:pt idx="10">
                  <c:v>4.7013518763022066E-2</c:v>
                </c:pt>
                <c:pt idx="11">
                  <c:v>5.3197891983369328E-2</c:v>
                </c:pt>
                <c:pt idx="12">
                  <c:v>3.5475424558858659E-2</c:v>
                </c:pt>
                <c:pt idx="13">
                  <c:v>6.4273969100186124E-2</c:v>
                </c:pt>
                <c:pt idx="14">
                  <c:v>5.0606629247550217E-2</c:v>
                </c:pt>
                <c:pt idx="15">
                  <c:v>5.9048484044573968E-2</c:v>
                </c:pt>
                <c:pt idx="16">
                  <c:v>4.0578667559627135E-2</c:v>
                </c:pt>
                <c:pt idx="17">
                  <c:v>6.0706266729799951E-2</c:v>
                </c:pt>
                <c:pt idx="18">
                  <c:v>4.014087871507388E-2</c:v>
                </c:pt>
                <c:pt idx="19">
                  <c:v>7.6562769620496685E-2</c:v>
                </c:pt>
                <c:pt idx="20">
                  <c:v>3.5850175827657482E-2</c:v>
                </c:pt>
                <c:pt idx="21">
                  <c:v>3.1534485223729591E-2</c:v>
                </c:pt>
                <c:pt idx="22">
                  <c:v>2.9254087796199091E-2</c:v>
                </c:pt>
                <c:pt idx="23">
                  <c:v>3.3781070157198112E-2</c:v>
                </c:pt>
                <c:pt idx="24">
                  <c:v>4.7163858306436261E-2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6698880"/>
        <c:axId val="46700416"/>
      </c:barChart>
      <c:lineChart>
        <c:grouping val="standard"/>
        <c:varyColors val="0"/>
        <c:ser>
          <c:idx val="0"/>
          <c:order val="0"/>
          <c:tx>
            <c:strRef>
              <c:f>Лист1!$C$338</c:f>
              <c:strCache>
                <c:ptCount val="1"/>
                <c:pt idx="0">
                  <c:v>В тенге</c:v>
                </c:pt>
              </c:strCache>
            </c:strRef>
          </c:tx>
          <c:spPr>
            <a:ln w="19050">
              <a:solidFill>
                <a:srgbClr val="151AF1"/>
              </a:solidFill>
            </a:ln>
          </c:spPr>
          <c:marker>
            <c:symbol val="diamond"/>
            <c:size val="2"/>
          </c:marker>
          <c:cat>
            <c:numRef>
              <c:f>Лист1!$D$335:$AC$337</c:f>
              <c:numCache>
                <c:formatCode>m/d/yyyy</c:formatCode>
                <c:ptCount val="26"/>
                <c:pt idx="0">
                  <c:v>39539</c:v>
                </c:pt>
                <c:pt idx="1">
                  <c:v>39630</c:v>
                </c:pt>
                <c:pt idx="2">
                  <c:v>39722</c:v>
                </c:pt>
                <c:pt idx="3">
                  <c:v>39814</c:v>
                </c:pt>
                <c:pt idx="4">
                  <c:v>39904</c:v>
                </c:pt>
                <c:pt idx="5">
                  <c:v>39995</c:v>
                </c:pt>
                <c:pt idx="6">
                  <c:v>40087</c:v>
                </c:pt>
                <c:pt idx="7">
                  <c:v>40179</c:v>
                </c:pt>
                <c:pt idx="8">
                  <c:v>40269</c:v>
                </c:pt>
                <c:pt idx="9">
                  <c:v>40360</c:v>
                </c:pt>
                <c:pt idx="10">
                  <c:v>40452</c:v>
                </c:pt>
                <c:pt idx="11">
                  <c:v>40544</c:v>
                </c:pt>
                <c:pt idx="12">
                  <c:v>40634</c:v>
                </c:pt>
                <c:pt idx="13">
                  <c:v>40725</c:v>
                </c:pt>
                <c:pt idx="14">
                  <c:v>40817</c:v>
                </c:pt>
                <c:pt idx="15">
                  <c:v>40909</c:v>
                </c:pt>
                <c:pt idx="16">
                  <c:v>41000</c:v>
                </c:pt>
                <c:pt idx="17">
                  <c:v>41091</c:v>
                </c:pt>
                <c:pt idx="18">
                  <c:v>41183</c:v>
                </c:pt>
                <c:pt idx="19">
                  <c:v>41275</c:v>
                </c:pt>
                <c:pt idx="20">
                  <c:v>41365</c:v>
                </c:pt>
                <c:pt idx="21">
                  <c:v>41456</c:v>
                </c:pt>
                <c:pt idx="22">
                  <c:v>41548</c:v>
                </c:pt>
                <c:pt idx="23">
                  <c:v>41640</c:v>
                </c:pt>
                <c:pt idx="24">
                  <c:v>41730</c:v>
                </c:pt>
              </c:numCache>
            </c:numRef>
          </c:cat>
          <c:val>
            <c:numRef>
              <c:f>Лист1!$D$338:$AC$338</c:f>
              <c:numCache>
                <c:formatCode>0.00%</c:formatCode>
                <c:ptCount val="26"/>
                <c:pt idx="0">
                  <c:v>3.9015620935453646E-2</c:v>
                </c:pt>
                <c:pt idx="1">
                  <c:v>-4.1395919384260311E-3</c:v>
                </c:pt>
                <c:pt idx="2">
                  <c:v>7.5008402765631477E-2</c:v>
                </c:pt>
                <c:pt idx="3">
                  <c:v>-0.1320397014628496</c:v>
                </c:pt>
                <c:pt idx="4">
                  <c:v>-0.28626367577135675</c:v>
                </c:pt>
                <c:pt idx="5">
                  <c:v>0.12586804173561711</c:v>
                </c:pt>
                <c:pt idx="6">
                  <c:v>9.086234490029238E-2</c:v>
                </c:pt>
                <c:pt idx="7">
                  <c:v>0.10034382737891304</c:v>
                </c:pt>
                <c:pt idx="8">
                  <c:v>0.15303402621540196</c:v>
                </c:pt>
                <c:pt idx="9">
                  <c:v>9.9612437020105457E-2</c:v>
                </c:pt>
                <c:pt idx="10">
                  <c:v>5.4488115843857779E-2</c:v>
                </c:pt>
                <c:pt idx="11">
                  <c:v>0.11133653021736382</c:v>
                </c:pt>
                <c:pt idx="12">
                  <c:v>6.1821067399739922E-2</c:v>
                </c:pt>
                <c:pt idx="13">
                  <c:v>7.7710104258527882E-2</c:v>
                </c:pt>
                <c:pt idx="14">
                  <c:v>5.7824109916233372E-2</c:v>
                </c:pt>
                <c:pt idx="15">
                  <c:v>5.6401017495055036E-2</c:v>
                </c:pt>
                <c:pt idx="16">
                  <c:v>2.8578757519493528E-2</c:v>
                </c:pt>
                <c:pt idx="17">
                  <c:v>5.9457576668380682E-2</c:v>
                </c:pt>
                <c:pt idx="18">
                  <c:v>4.1886078981724334E-2</c:v>
                </c:pt>
                <c:pt idx="19">
                  <c:v>0.12163605412439479</c:v>
                </c:pt>
                <c:pt idx="20">
                  <c:v>4.3097370885214058E-2</c:v>
                </c:pt>
                <c:pt idx="21">
                  <c:v>2.6299583048346623E-2</c:v>
                </c:pt>
                <c:pt idx="22">
                  <c:v>-5.2903314313136038E-2</c:v>
                </c:pt>
                <c:pt idx="23">
                  <c:v>5.0826671578923593E-2</c:v>
                </c:pt>
                <c:pt idx="24">
                  <c:v>-0.14695436640542678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Лист1!$C$339</c:f>
              <c:strCache>
                <c:ptCount val="1"/>
                <c:pt idx="0">
                  <c:v>В иностранной валюте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diamond"/>
            <c:size val="2"/>
          </c:marker>
          <c:cat>
            <c:numRef>
              <c:f>Лист1!$D$335:$AC$337</c:f>
              <c:numCache>
                <c:formatCode>m/d/yyyy</c:formatCode>
                <c:ptCount val="26"/>
                <c:pt idx="0">
                  <c:v>39539</c:v>
                </c:pt>
                <c:pt idx="1">
                  <c:v>39630</c:v>
                </c:pt>
                <c:pt idx="2">
                  <c:v>39722</c:v>
                </c:pt>
                <c:pt idx="3">
                  <c:v>39814</c:v>
                </c:pt>
                <c:pt idx="4">
                  <c:v>39904</c:v>
                </c:pt>
                <c:pt idx="5">
                  <c:v>39995</c:v>
                </c:pt>
                <c:pt idx="6">
                  <c:v>40087</c:v>
                </c:pt>
                <c:pt idx="7">
                  <c:v>40179</c:v>
                </c:pt>
                <c:pt idx="8">
                  <c:v>40269</c:v>
                </c:pt>
                <c:pt idx="9">
                  <c:v>40360</c:v>
                </c:pt>
                <c:pt idx="10">
                  <c:v>40452</c:v>
                </c:pt>
                <c:pt idx="11">
                  <c:v>40544</c:v>
                </c:pt>
                <c:pt idx="12">
                  <c:v>40634</c:v>
                </c:pt>
                <c:pt idx="13">
                  <c:v>40725</c:v>
                </c:pt>
                <c:pt idx="14">
                  <c:v>40817</c:v>
                </c:pt>
                <c:pt idx="15">
                  <c:v>40909</c:v>
                </c:pt>
                <c:pt idx="16">
                  <c:v>41000</c:v>
                </c:pt>
                <c:pt idx="17">
                  <c:v>41091</c:v>
                </c:pt>
                <c:pt idx="18">
                  <c:v>41183</c:v>
                </c:pt>
                <c:pt idx="19">
                  <c:v>41275</c:v>
                </c:pt>
                <c:pt idx="20">
                  <c:v>41365</c:v>
                </c:pt>
                <c:pt idx="21">
                  <c:v>41456</c:v>
                </c:pt>
                <c:pt idx="22">
                  <c:v>41548</c:v>
                </c:pt>
                <c:pt idx="23">
                  <c:v>41640</c:v>
                </c:pt>
                <c:pt idx="24">
                  <c:v>41730</c:v>
                </c:pt>
              </c:numCache>
            </c:numRef>
          </c:cat>
          <c:val>
            <c:numRef>
              <c:f>Лист1!$D$339:$AC$339</c:f>
              <c:numCache>
                <c:formatCode>0.00%</c:formatCode>
                <c:ptCount val="26"/>
                <c:pt idx="0">
                  <c:v>3.0827752680126323E-2</c:v>
                </c:pt>
                <c:pt idx="1">
                  <c:v>-3.4386494346289959E-2</c:v>
                </c:pt>
                <c:pt idx="2">
                  <c:v>-1.0552586941395355E-3</c:v>
                </c:pt>
                <c:pt idx="3">
                  <c:v>0.15959216401623832</c:v>
                </c:pt>
                <c:pt idx="4">
                  <c:v>0.5790060083165437</c:v>
                </c:pt>
                <c:pt idx="5">
                  <c:v>-5.7619090431645689E-2</c:v>
                </c:pt>
                <c:pt idx="6">
                  <c:v>0.18102534718988195</c:v>
                </c:pt>
                <c:pt idx="7">
                  <c:v>-7.6839619595314426E-3</c:v>
                </c:pt>
                <c:pt idx="8">
                  <c:v>-8.0702570655833056E-2</c:v>
                </c:pt>
                <c:pt idx="9">
                  <c:v>-3.2790156632928266E-2</c:v>
                </c:pt>
                <c:pt idx="10">
                  <c:v>3.8829479787215973E-2</c:v>
                </c:pt>
                <c:pt idx="11">
                  <c:v>-1.1418424147103975E-2</c:v>
                </c:pt>
                <c:pt idx="12">
                  <c:v>2.5585061234379711E-3</c:v>
                </c:pt>
                <c:pt idx="13">
                  <c:v>4.6494188812371391E-2</c:v>
                </c:pt>
                <c:pt idx="14">
                  <c:v>4.0770985755074589E-2</c:v>
                </c:pt>
                <c:pt idx="15">
                  <c:v>6.2715441873912037E-2</c:v>
                </c:pt>
                <c:pt idx="16">
                  <c:v>4.6609968559954808E-3</c:v>
                </c:pt>
                <c:pt idx="17">
                  <c:v>6.245311222275584E-2</c:v>
                </c:pt>
                <c:pt idx="18">
                  <c:v>3.7706327543303282E-2</c:v>
                </c:pt>
                <c:pt idx="19">
                  <c:v>1.3432359087940944E-2</c:v>
                </c:pt>
                <c:pt idx="20">
                  <c:v>2.4615862010089876E-2</c:v>
                </c:pt>
                <c:pt idx="21">
                  <c:v>3.9795795756476904E-2</c:v>
                </c:pt>
                <c:pt idx="22">
                  <c:v>0.15722556113953981</c:v>
                </c:pt>
                <c:pt idx="23">
                  <c:v>1.4907159710523967E-2</c:v>
                </c:pt>
                <c:pt idx="24">
                  <c:v>0.29387382483381214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683264"/>
        <c:axId val="46684800"/>
      </c:lineChart>
      <c:dateAx>
        <c:axId val="46683264"/>
        <c:scaling>
          <c:orientation val="minMax"/>
        </c:scaling>
        <c:delete val="0"/>
        <c:axPos val="b"/>
        <c:minorGridlines>
          <c:spPr>
            <a:ln w="3175">
              <a:prstDash val="dash"/>
            </a:ln>
          </c:spPr>
        </c:minorGridlines>
        <c:numFmt formatCode="dd/mm/yy;@" sourceLinked="0"/>
        <c:majorTickMark val="out"/>
        <c:minorTickMark val="none"/>
        <c:tickLblPos val="low"/>
        <c:txPr>
          <a:bodyPr rot="-2700000" vert="horz"/>
          <a:lstStyle/>
          <a:p>
            <a:pPr>
              <a:defRPr sz="800"/>
            </a:pPr>
            <a:endParaRPr lang="ru-RU"/>
          </a:p>
        </c:txPr>
        <c:crossAx val="46684800"/>
        <c:crosses val="autoZero"/>
        <c:auto val="1"/>
        <c:lblOffset val="100"/>
        <c:baseTimeUnit val="months"/>
        <c:majorUnit val="3"/>
        <c:majorTimeUnit val="months"/>
        <c:minorUnit val="3"/>
        <c:minorTimeUnit val="months"/>
      </c:dateAx>
      <c:valAx>
        <c:axId val="46684800"/>
        <c:scaling>
          <c:orientation val="minMax"/>
          <c:max val="0.60000000000000009"/>
          <c:min val="-0.30000000000000004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46683264"/>
        <c:crosses val="autoZero"/>
        <c:crossBetween val="between"/>
        <c:majorUnit val="0.1"/>
        <c:minorUnit val="1.0000000000000002E-2"/>
      </c:valAx>
      <c:dateAx>
        <c:axId val="46698880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46700416"/>
        <c:crosses val="autoZero"/>
        <c:auto val="1"/>
        <c:lblOffset val="100"/>
        <c:baseTimeUnit val="months"/>
      </c:dateAx>
      <c:valAx>
        <c:axId val="46700416"/>
        <c:scaling>
          <c:orientation val="minMax"/>
          <c:max val="0.60000000000000009"/>
          <c:min val="-0.30000000000000004"/>
        </c:scaling>
        <c:delete val="1"/>
        <c:axPos val="r"/>
        <c:numFmt formatCode="0%" sourceLinked="0"/>
        <c:majorTickMark val="out"/>
        <c:minorTickMark val="none"/>
        <c:tickLblPos val="nextTo"/>
        <c:crossAx val="46698880"/>
        <c:crosses val="max"/>
        <c:crossBetween val="between"/>
        <c:majorUnit val="0.1"/>
        <c:minorUnit val="1.0000000000000002E-2"/>
      </c:valAx>
    </c:plotArea>
    <c:legend>
      <c:legendPos val="r"/>
      <c:layout>
        <c:manualLayout>
          <c:xMode val="edge"/>
          <c:yMode val="edge"/>
          <c:x val="0.358324891995488"/>
          <c:y val="4.2848580145903446E-2"/>
          <c:w val="0.44102485768446381"/>
          <c:h val="0.17216426177344488"/>
        </c:manualLayout>
      </c:layout>
      <c:overlay val="0"/>
      <c:txPr>
        <a:bodyPr/>
        <a:lstStyle/>
        <a:p>
          <a:pPr>
            <a:defRPr sz="900" b="1"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685092059751893E-2"/>
          <c:y val="1.9986821875686362E-2"/>
          <c:w val="0.36976829748767176"/>
          <c:h val="0.96437658854644215"/>
        </c:manualLayout>
      </c:layout>
      <c:pie3DChart>
        <c:varyColors val="1"/>
        <c:ser>
          <c:idx val="0"/>
          <c:order val="0"/>
          <c:tx>
            <c:strRef>
              <c:f>'свод 01.04.14'!$B$42:$B$47</c:f>
              <c:strCache>
                <c:ptCount val="1"/>
                <c:pt idx="0">
                  <c:v>Срочные до Т5 млн. Срочные от Т5 до Т10 млн. Срочные от Т10 до Т15 млн. Срочные свыше Т15 млн. До востребования Текущие и карт-счета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'свод 01.01.14'!$B$42:$B$47</c:f>
              <c:strCache>
                <c:ptCount val="6"/>
                <c:pt idx="0">
                  <c:v>Срочные до Т5 млн.</c:v>
                </c:pt>
                <c:pt idx="1">
                  <c:v>Срочные от Т5 до Т10 млн.</c:v>
                </c:pt>
                <c:pt idx="2">
                  <c:v>Срочные от Т10 до Т15 млн.</c:v>
                </c:pt>
                <c:pt idx="3">
                  <c:v>Срочные свыше Т15 млн.</c:v>
                </c:pt>
                <c:pt idx="4">
                  <c:v>До востребования</c:v>
                </c:pt>
                <c:pt idx="5">
                  <c:v>Текущие и карт-счета</c:v>
                </c:pt>
              </c:strCache>
            </c:strRef>
          </c:cat>
          <c:val>
            <c:numRef>
              <c:f>'свод 01.04.14'!$C$42:$C$47</c:f>
              <c:numCache>
                <c:formatCode>0.0%</c:formatCode>
                <c:ptCount val="6"/>
                <c:pt idx="0">
                  <c:v>0.30072233426443024</c:v>
                </c:pt>
                <c:pt idx="1">
                  <c:v>8.6779308147737821E-2</c:v>
                </c:pt>
                <c:pt idx="2">
                  <c:v>3.5638141141972793E-2</c:v>
                </c:pt>
                <c:pt idx="3">
                  <c:v>0.46985658137773789</c:v>
                </c:pt>
                <c:pt idx="4">
                  <c:v>9.3067575856286434E-3</c:v>
                </c:pt>
                <c:pt idx="5">
                  <c:v>9.7696877240455116E-2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5493698556802207"/>
          <c:y val="6.0388056920859842E-2"/>
          <c:w val="0.38964436810837733"/>
          <c:h val="0.78810259598379995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Georgia"/>
          <a:ea typeface="Georgia"/>
          <a:cs typeface="Georgia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988407699037623E-2"/>
          <c:y val="2.3067220764071156E-2"/>
          <c:w val="0.93290048118985125"/>
          <c:h val="0.77705635753864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Лист1!$K$8</c:f>
              <c:strCache>
                <c:ptCount val="1"/>
                <c:pt idx="0">
                  <c:v>Группа А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Лист1!$L$7:$P$7</c:f>
              <c:strCache>
                <c:ptCount val="5"/>
                <c:pt idx="0">
                  <c:v>I кв. 2013 г. </c:v>
                </c:pt>
                <c:pt idx="1">
                  <c:v>II кв. 2013 г.</c:v>
                </c:pt>
                <c:pt idx="2">
                  <c:v>III кв. 2013 г.</c:v>
                </c:pt>
                <c:pt idx="3">
                  <c:v>IV кв. 2013 г.</c:v>
                </c:pt>
                <c:pt idx="4">
                  <c:v>I кв. 2014 г.</c:v>
                </c:pt>
              </c:strCache>
            </c:strRef>
          </c:cat>
          <c:val>
            <c:numRef>
              <c:f>Лист1!$L$8:$P$8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Лист1!$K$9</c:f>
              <c:strCache>
                <c:ptCount val="1"/>
                <c:pt idx="0">
                  <c:v>Группа 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Лист1!$L$7:$P$7</c:f>
              <c:strCache>
                <c:ptCount val="5"/>
                <c:pt idx="0">
                  <c:v>I кв. 2013 г. </c:v>
                </c:pt>
                <c:pt idx="1">
                  <c:v>II кв. 2013 г.</c:v>
                </c:pt>
                <c:pt idx="2">
                  <c:v>III кв. 2013 г.</c:v>
                </c:pt>
                <c:pt idx="3">
                  <c:v>IV кв. 2013 г.</c:v>
                </c:pt>
                <c:pt idx="4">
                  <c:v>I кв. 2014 г.</c:v>
                </c:pt>
              </c:strCache>
            </c:strRef>
          </c:cat>
          <c:val>
            <c:numRef>
              <c:f>Лист1!$L$9:$P$9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Лист1!$K$10</c:f>
              <c:strCache>
                <c:ptCount val="1"/>
                <c:pt idx="0">
                  <c:v>Группа C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Лист1!$L$7:$P$7</c:f>
              <c:strCache>
                <c:ptCount val="5"/>
                <c:pt idx="0">
                  <c:v>I кв. 2013 г. </c:v>
                </c:pt>
                <c:pt idx="1">
                  <c:v>II кв. 2013 г.</c:v>
                </c:pt>
                <c:pt idx="2">
                  <c:v>III кв. 2013 г.</c:v>
                </c:pt>
                <c:pt idx="3">
                  <c:v>IV кв. 2013 г.</c:v>
                </c:pt>
                <c:pt idx="4">
                  <c:v>I кв. 2014 г.</c:v>
                </c:pt>
              </c:strCache>
            </c:strRef>
          </c:cat>
          <c:val>
            <c:numRef>
              <c:f>Лист1!$L$10:$P$10</c:f>
              <c:numCache>
                <c:formatCode>General</c:formatCode>
                <c:ptCount val="5"/>
                <c:pt idx="0">
                  <c:v>11</c:v>
                </c:pt>
                <c:pt idx="1">
                  <c:v>16</c:v>
                </c:pt>
                <c:pt idx="2">
                  <c:v>16</c:v>
                </c:pt>
                <c:pt idx="3">
                  <c:v>13</c:v>
                </c:pt>
                <c:pt idx="4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Лист1!$K$11</c:f>
              <c:strCache>
                <c:ptCount val="1"/>
                <c:pt idx="0">
                  <c:v>Группа D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Лист1!$L$7:$P$7</c:f>
              <c:strCache>
                <c:ptCount val="5"/>
                <c:pt idx="0">
                  <c:v>I кв. 2013 г. </c:v>
                </c:pt>
                <c:pt idx="1">
                  <c:v>II кв. 2013 г.</c:v>
                </c:pt>
                <c:pt idx="2">
                  <c:v>III кв. 2013 г.</c:v>
                </c:pt>
                <c:pt idx="3">
                  <c:v>IV кв. 2013 г.</c:v>
                </c:pt>
                <c:pt idx="4">
                  <c:v>I кв. 2014 г.</c:v>
                </c:pt>
              </c:strCache>
            </c:strRef>
          </c:cat>
          <c:val>
            <c:numRef>
              <c:f>Лист1!$L$11:$P$11</c:f>
              <c:numCache>
                <c:formatCode>General</c:formatCode>
                <c:ptCount val="5"/>
                <c:pt idx="0">
                  <c:v>11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Лист1!$K$12</c:f>
              <c:strCache>
                <c:ptCount val="1"/>
                <c:pt idx="0">
                  <c:v>Группа E</c:v>
                </c:pt>
              </c:strCache>
            </c:strRef>
          </c:tx>
          <c:spPr>
            <a:solidFill>
              <a:srgbClr val="5237F3"/>
            </a:solidFill>
          </c:spPr>
          <c:invertIfNegative val="0"/>
          <c:dLbls>
            <c:dLbl>
              <c:idx val="3"/>
              <c:layout>
                <c:manualLayout>
                  <c:x val="-2.7777777777777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Лист1!$L$7:$P$7</c:f>
              <c:strCache>
                <c:ptCount val="5"/>
                <c:pt idx="0">
                  <c:v>I кв. 2013 г. </c:v>
                </c:pt>
                <c:pt idx="1">
                  <c:v>II кв. 2013 г.</c:v>
                </c:pt>
                <c:pt idx="2">
                  <c:v>III кв. 2013 г.</c:v>
                </c:pt>
                <c:pt idx="3">
                  <c:v>IV кв. 2013 г.</c:v>
                </c:pt>
                <c:pt idx="4">
                  <c:v>I кв. 2014 г.</c:v>
                </c:pt>
              </c:strCache>
            </c:strRef>
          </c:cat>
          <c:val>
            <c:numRef>
              <c:f>Лист1!$L$12:$P$12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Лист1!$K$13</c:f>
              <c:strCache>
                <c:ptCount val="1"/>
                <c:pt idx="0">
                  <c:v>Группа S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Лист1!$L$7:$P$7</c:f>
              <c:strCache>
                <c:ptCount val="5"/>
                <c:pt idx="0">
                  <c:v>I кв. 2013 г. </c:v>
                </c:pt>
                <c:pt idx="1">
                  <c:v>II кв. 2013 г.</c:v>
                </c:pt>
                <c:pt idx="2">
                  <c:v>III кв. 2013 г.</c:v>
                </c:pt>
                <c:pt idx="3">
                  <c:v>IV кв. 2013 г.</c:v>
                </c:pt>
                <c:pt idx="4">
                  <c:v>I кв. 2014 г.</c:v>
                </c:pt>
              </c:strCache>
            </c:strRef>
          </c:cat>
          <c:val>
            <c:numRef>
              <c:f>Лист1!$L$13:$P$13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47193088"/>
        <c:axId val="47211264"/>
      </c:barChart>
      <c:catAx>
        <c:axId val="47193088"/>
        <c:scaling>
          <c:orientation val="minMax"/>
        </c:scaling>
        <c:delete val="0"/>
        <c:axPos val="l"/>
        <c:minorGridlines>
          <c:spPr>
            <a:ln>
              <a:noFill/>
            </a:ln>
          </c:spPr>
        </c:minorGridlines>
        <c:majorTickMark val="none"/>
        <c:minorTickMark val="none"/>
        <c:tickLblPos val="nextTo"/>
        <c:txPr>
          <a:bodyPr/>
          <a:lstStyle/>
          <a:p>
            <a:pPr>
              <a:defRPr sz="9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211264"/>
        <c:crosses val="autoZero"/>
        <c:auto val="1"/>
        <c:lblAlgn val="ctr"/>
        <c:lblOffset val="100"/>
        <c:noMultiLvlLbl val="0"/>
      </c:catAx>
      <c:valAx>
        <c:axId val="47211264"/>
        <c:scaling>
          <c:orientation val="minMax"/>
          <c:max val="36"/>
          <c:min val="0"/>
        </c:scaling>
        <c:delete val="0"/>
        <c:axPos val="b"/>
        <c:majorGridlines>
          <c:spPr>
            <a:ln w="3175">
              <a:solidFill>
                <a:schemeClr val="tx1">
                  <a:tint val="50000"/>
                  <a:shade val="95000"/>
                  <a:satMod val="105000"/>
                </a:schemeClr>
              </a:solidFill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1930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Nazym</dc:creator>
  <cp:keywords/>
  <dc:description/>
  <cp:lastModifiedBy>Shynar</cp:lastModifiedBy>
  <cp:revision>9</cp:revision>
  <dcterms:created xsi:type="dcterms:W3CDTF">2015-01-16T04:20:00Z</dcterms:created>
  <dcterms:modified xsi:type="dcterms:W3CDTF">2015-01-19T04:46:00Z</dcterms:modified>
</cp:coreProperties>
</file>