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-684586706"/>
        <w:docPartObj>
          <w:docPartGallery w:val="Cover Pages"/>
          <w:docPartUnique/>
        </w:docPartObj>
      </w:sdtPr>
      <w:sdtEndPr>
        <w:rPr>
          <w:b/>
          <w:caps/>
          <w:spacing w:val="20"/>
          <w:lang w:eastAsia="it-IT"/>
        </w:rPr>
      </w:sdtEndPr>
      <w:sdtContent>
        <w:p w:rsidR="00A65E0A" w:rsidRPr="00E97068" w:rsidRDefault="00A65E0A" w:rsidP="00A65E0A">
          <w:pPr>
            <w:rPr>
              <w:rFonts w:ascii="Times New Roman" w:hAnsi="Times New Roman"/>
              <w:sz w:val="28"/>
              <w:szCs w:val="28"/>
            </w:rPr>
          </w:pPr>
        </w:p>
        <w:p w:rsidR="00A65E0A" w:rsidRPr="00E97068" w:rsidRDefault="00A65E0A" w:rsidP="00A65E0A">
          <w:pPr>
            <w:rPr>
              <w:rFonts w:ascii="Times New Roman" w:hAnsi="Times New Roman"/>
              <w:sz w:val="28"/>
              <w:szCs w:val="28"/>
            </w:rPr>
          </w:pP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ҚАЗАҚСТАННЫҢ ДЕПОЗИТТЕРГЕ КЕПІЛДІК БЕРУ ҚОРЫ</w:t>
          </w: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Жарналардың дифференциалды  мөлшерлемелерін есептеу және методологиясы департаменті</w:t>
          </w:r>
        </w:p>
        <w:p w:rsidR="00A65E0A" w:rsidRPr="00E97068" w:rsidRDefault="00A65E0A" w:rsidP="00A65E0A">
          <w:pPr>
            <w:rPr>
              <w:rFonts w:ascii="Times New Roman" w:hAnsi="Times New Roman"/>
              <w:sz w:val="28"/>
              <w:szCs w:val="28"/>
            </w:rPr>
          </w:pP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A65E0A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Pr="00E97068" w:rsidRDefault="00A65E0A" w:rsidP="00A65E0A">
          <w:pPr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201</w:t>
          </w:r>
          <w:r w:rsidRPr="006E0C88">
            <w:rPr>
              <w:rFonts w:ascii="Times New Roman" w:hAnsi="Times New Roman"/>
              <w:b/>
              <w:sz w:val="28"/>
              <w:szCs w:val="28"/>
            </w:rPr>
            <w:t>4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 xml:space="preserve"> ж. </w:t>
          </w:r>
          <w:r w:rsidR="001D3436" w:rsidRPr="001D3436">
            <w:rPr>
              <w:rFonts w:ascii="Times New Roman" w:hAnsi="Times New Roman"/>
              <w:b/>
              <w:sz w:val="28"/>
              <w:szCs w:val="28"/>
            </w:rPr>
            <w:t>3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-тоқсанындағы</w:t>
          </w: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Жеке тұлғалардың депозиттерІ нарығына</w:t>
          </w:r>
        </w:p>
        <w:p w:rsidR="00A65E0A" w:rsidRPr="00E97068" w:rsidRDefault="00A65E0A" w:rsidP="00A65E0A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қысқаша ақпараттық шолу</w:t>
          </w:r>
        </w:p>
        <w:p w:rsidR="00A65E0A" w:rsidRPr="00E97068" w:rsidRDefault="00A65E0A" w:rsidP="00A65E0A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65E0A" w:rsidRDefault="00A65E0A" w:rsidP="00A65E0A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A65E0A" w:rsidRDefault="00A65E0A" w:rsidP="00A65E0A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A65E0A" w:rsidRDefault="00A65E0A" w:rsidP="00A65E0A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A65E0A" w:rsidRPr="00E97068" w:rsidRDefault="00A65E0A" w:rsidP="00A65E0A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A65E0A" w:rsidRDefault="00C823A9" w:rsidP="00A65E0A">
          <w:pPr>
            <w:rPr>
              <w:rFonts w:ascii="Times New Roman" w:hAnsi="Times New Roman"/>
              <w:b/>
              <w:caps/>
              <w:spacing w:val="20"/>
              <w:sz w:val="28"/>
              <w:szCs w:val="28"/>
              <w:lang w:eastAsia="it-IT"/>
            </w:rPr>
          </w:pPr>
        </w:p>
      </w:sdtContent>
    </w:sdt>
    <w:p w:rsidR="00A65E0A" w:rsidRPr="00A65E0A" w:rsidRDefault="00A65E0A" w:rsidP="00A65E0A">
      <w:pPr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it-IT"/>
        </w:rPr>
      </w:pPr>
      <w:r w:rsidRPr="00A65E0A"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Жеке тұлғалардың депозиттер нарығының тенденциясына шолу</w:t>
      </w:r>
    </w:p>
    <w:p w:rsidR="0052564F" w:rsidRPr="009A158E" w:rsidRDefault="0052564F" w:rsidP="00233144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2014 ж. 1 </w:t>
      </w:r>
      <w:r w:rsidR="002760A4">
        <w:rPr>
          <w:rFonts w:ascii="Times New Roman" w:eastAsia="SimSun" w:hAnsi="Times New Roman"/>
          <w:sz w:val="24"/>
          <w:szCs w:val="24"/>
          <w:lang w:val="kk-KZ"/>
        </w:rPr>
        <w:t>қазандағы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жағдайы бойынша </w:t>
      </w:r>
      <w:r>
        <w:rPr>
          <w:rFonts w:ascii="Times New Roman" w:eastAsia="SimSun" w:hAnsi="Times New Roman"/>
          <w:sz w:val="24"/>
          <w:szCs w:val="24"/>
          <w:lang w:val="kk-KZ"/>
        </w:rPr>
        <w:t>д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епозиттерге кепілдік беру жүйесіне қатысушы банктердегі 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халықтың салымы 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4,</w:t>
      </w:r>
      <w:r>
        <w:rPr>
          <w:rFonts w:ascii="Times New Roman" w:eastAsia="Times New Roman" w:hAnsi="Times New Roman"/>
          <w:sz w:val="24"/>
          <w:szCs w:val="24"/>
          <w:lang w:val="kk-KZ" w:eastAsia="it-IT"/>
        </w:rPr>
        <w:t>4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 теңгеге жетті, оның ішінде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депозиттік қоржынның </w:t>
      </w:r>
      <w:r w:rsidR="002760A4">
        <w:rPr>
          <w:rFonts w:ascii="Times New Roman" w:eastAsia="SimSun" w:hAnsi="Times New Roman"/>
          <w:sz w:val="24"/>
          <w:szCs w:val="24"/>
          <w:lang w:val="kk-KZ"/>
        </w:rPr>
        <w:t>3</w:t>
      </w:r>
      <w:r>
        <w:rPr>
          <w:rFonts w:ascii="Times New Roman" w:eastAsia="SimSun" w:hAnsi="Times New Roman"/>
          <w:sz w:val="24"/>
          <w:szCs w:val="24"/>
          <w:lang w:val="kk-KZ"/>
        </w:rPr>
        <w:t>-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тоқсандағы өсімі </w:t>
      </w:r>
      <w:r w:rsidR="002760A4">
        <w:rPr>
          <w:rFonts w:ascii="Times New Roman" w:eastAsia="SimSun" w:hAnsi="Times New Roman"/>
          <w:sz w:val="24"/>
          <w:szCs w:val="24"/>
          <w:lang w:val="kk-KZ"/>
        </w:rPr>
        <w:t>18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,1 млрд. теңгені немесе </w:t>
      </w:r>
      <w:r w:rsidR="002760A4">
        <w:rPr>
          <w:rFonts w:ascii="Times New Roman" w:eastAsia="SimSun" w:hAnsi="Times New Roman"/>
          <w:sz w:val="24"/>
          <w:szCs w:val="24"/>
          <w:lang w:val="kk-KZ"/>
        </w:rPr>
        <w:t>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2760A4">
        <w:rPr>
          <w:rFonts w:ascii="Times New Roman" w:eastAsia="SimSun" w:hAnsi="Times New Roman"/>
          <w:sz w:val="24"/>
          <w:szCs w:val="24"/>
          <w:lang w:val="kk-KZ"/>
        </w:rPr>
        <w:t>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құрайды. </w:t>
      </w:r>
      <w:r w:rsidR="007241F3">
        <w:rPr>
          <w:rFonts w:ascii="Times New Roman" w:eastAsia="SimSun" w:hAnsi="Times New Roman"/>
          <w:sz w:val="24"/>
          <w:szCs w:val="24"/>
          <w:lang w:val="kk-KZ"/>
        </w:rPr>
        <w:t>Егер алдыңғы тоқсанда д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епозиттік қоржынның </w:t>
      </w:r>
      <w:r>
        <w:rPr>
          <w:rFonts w:ascii="Times New Roman" w:eastAsia="SimSun" w:hAnsi="Times New Roman"/>
          <w:sz w:val="24"/>
          <w:szCs w:val="24"/>
          <w:lang w:val="kk-KZ"/>
        </w:rPr>
        <w:t>теңге бойынша</w:t>
      </w:r>
      <w:r w:rsidR="007241F3">
        <w:rPr>
          <w:rFonts w:ascii="Times New Roman" w:eastAsia="SimSun" w:hAnsi="Times New Roman"/>
          <w:sz w:val="24"/>
          <w:szCs w:val="24"/>
          <w:lang w:val="kk-KZ"/>
        </w:rPr>
        <w:t xml:space="preserve"> өзгерісі шетел валютасы бойынша өзгерістен екі есе үлкен болса</w:t>
      </w:r>
      <w:r w:rsidR="003402C9">
        <w:rPr>
          <w:rFonts w:ascii="Times New Roman" w:eastAsia="SimSun" w:hAnsi="Times New Roman"/>
          <w:sz w:val="24"/>
          <w:szCs w:val="24"/>
          <w:lang w:val="kk-KZ"/>
        </w:rPr>
        <w:t>, есептік то</w:t>
      </w:r>
      <w:bookmarkStart w:id="0" w:name="_GoBack"/>
      <w:bookmarkEnd w:id="0"/>
      <w:r w:rsidR="003402C9">
        <w:rPr>
          <w:rFonts w:ascii="Times New Roman" w:eastAsia="SimSun" w:hAnsi="Times New Roman"/>
          <w:sz w:val="24"/>
          <w:szCs w:val="24"/>
          <w:lang w:val="kk-KZ"/>
        </w:rPr>
        <w:t xml:space="preserve">қсандағы ұлттық валюта бойынша депозиттердің кемуі байқалады. Депозиттердің теңге бойынша </w:t>
      </w:r>
      <w:r w:rsidR="00194AD2">
        <w:rPr>
          <w:rFonts w:ascii="Times New Roman" w:eastAsia="SimSun" w:hAnsi="Times New Roman"/>
          <w:sz w:val="24"/>
          <w:szCs w:val="24"/>
          <w:lang w:val="kk-KZ"/>
        </w:rPr>
        <w:t xml:space="preserve">кемуі </w:t>
      </w:r>
      <w:r w:rsidR="00233144">
        <w:rPr>
          <w:rFonts w:ascii="Times New Roman" w:eastAsia="SimSun" w:hAnsi="Times New Roman"/>
          <w:sz w:val="24"/>
          <w:szCs w:val="24"/>
          <w:lang w:val="kk-KZ"/>
        </w:rPr>
        <w:t>(</w:t>
      </w:r>
      <w:r w:rsidR="003402C9" w:rsidRPr="003402C9">
        <w:rPr>
          <w:rFonts w:ascii="Times New Roman" w:eastAsia="Times New Roman" w:hAnsi="Times New Roman"/>
          <w:sz w:val="24"/>
          <w:szCs w:val="24"/>
          <w:lang w:val="kk-KZ" w:eastAsia="it-IT"/>
        </w:rPr>
        <w:t>-3,3%</w:t>
      </w:r>
      <w:r w:rsidR="00233144">
        <w:rPr>
          <w:rFonts w:ascii="Times New Roman" w:eastAsia="Times New Roman" w:hAnsi="Times New Roman"/>
          <w:sz w:val="24"/>
          <w:szCs w:val="24"/>
          <w:lang w:val="kk-KZ" w:eastAsia="it-IT"/>
        </w:rPr>
        <w:t>)</w:t>
      </w:r>
      <w:r w:rsidR="00EB600E">
        <w:rPr>
          <w:rFonts w:ascii="Times New Roman" w:eastAsia="Times New Roman" w:hAnsi="Times New Roman"/>
          <w:sz w:val="24"/>
          <w:szCs w:val="24"/>
          <w:lang w:val="kk-KZ" w:eastAsia="it-IT"/>
        </w:rPr>
        <w:t>, ал шетел валютасы бойынша</w:t>
      </w:r>
      <w:r w:rsidR="00194AD2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өсімі</w:t>
      </w:r>
      <w:r w:rsidR="00EB600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– (</w:t>
      </w:r>
      <w:r w:rsidR="00EB600E" w:rsidRPr="00EB600E">
        <w:rPr>
          <w:rFonts w:ascii="Times New Roman" w:eastAsia="Times New Roman" w:hAnsi="Times New Roman"/>
          <w:sz w:val="24"/>
          <w:szCs w:val="24"/>
          <w:lang w:val="kk-KZ" w:eastAsia="it-IT"/>
        </w:rPr>
        <w:t>+3,6%</w:t>
      </w:r>
      <w:r w:rsidR="003402C9" w:rsidRPr="003402C9">
        <w:rPr>
          <w:rFonts w:ascii="Times New Roman" w:eastAsia="Times New Roman" w:hAnsi="Times New Roman"/>
          <w:sz w:val="24"/>
          <w:szCs w:val="24"/>
          <w:lang w:val="kk-KZ" w:eastAsia="it-IT"/>
        </w:rPr>
        <w:t>)</w:t>
      </w:r>
      <w:r w:rsidR="00EB600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 осылайша 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EB600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салымның ұлттық  валюта бойынша </w:t>
      </w:r>
      <w:r w:rsidR="00194A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үлесі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</w:t>
      </w:r>
      <w:r w:rsidR="00194A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,</w:t>
      </w:r>
      <w:r w:rsidR="00194A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%-ті құрады, </w:t>
      </w:r>
      <w:r w:rsidR="00EB600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шетел валютасы бойынша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үлесі </w:t>
      </w:r>
      <w:r w:rsidR="00194A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- 55</w:t>
      </w:r>
      <w:r w:rsidRP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,</w:t>
      </w:r>
      <w:r w:rsidR="00194AD2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3%</w:t>
      </w:r>
      <w:r w:rsidRPr="00BC7AE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>.</w:t>
      </w:r>
      <w:r w:rsidR="009A158E">
        <w:rPr>
          <w:rFonts w:ascii="Times New Roman" w:eastAsia="Times New Roman" w:hAnsi="Times New Roman" w:cs="Times New Roman"/>
          <w:sz w:val="24"/>
          <w:szCs w:val="24"/>
          <w:lang w:val="kk-KZ" w:eastAsia="it-IT"/>
        </w:rPr>
        <w:t xml:space="preserve"> </w:t>
      </w:r>
      <w:r w:rsidR="009A158E" w:rsidRPr="009A158E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>1.диаграммадан</w:t>
      </w:r>
      <w:r w:rsidR="009A158E" w:rsidRPr="009A158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 </w:t>
      </w:r>
      <w:r w:rsidR="009A158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жеке тұлғалар </w:t>
      </w:r>
      <w:r w:rsidR="009A158E" w:rsidRPr="009A158E">
        <w:rPr>
          <w:rFonts w:ascii="Times New Roman" w:eastAsia="Times New Roman" w:hAnsi="Times New Roman"/>
          <w:sz w:val="24"/>
          <w:szCs w:val="24"/>
          <w:lang w:val="kk-KZ" w:eastAsia="it-IT"/>
        </w:rPr>
        <w:t>депозиттер</w:t>
      </w:r>
      <w:r w:rsidR="009A158E">
        <w:rPr>
          <w:rFonts w:ascii="Times New Roman" w:eastAsia="Times New Roman" w:hAnsi="Times New Roman"/>
          <w:sz w:val="24"/>
          <w:szCs w:val="24"/>
          <w:lang w:val="kk-KZ" w:eastAsia="it-IT"/>
        </w:rPr>
        <w:t>інің</w:t>
      </w:r>
      <w:r w:rsidR="009A158E" w:rsidRPr="009A158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өзгерісінің динамикасы</w:t>
      </w:r>
      <w:r w:rsidR="009A158E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н </w:t>
      </w:r>
      <w:r w:rsidR="00DE3691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әр валюта үшін көруге болады.  </w:t>
      </w:r>
    </w:p>
    <w:p w:rsidR="006D3E7E" w:rsidRPr="005852ED" w:rsidRDefault="006D3E7E" w:rsidP="006D3E7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</w:p>
    <w:p w:rsidR="009A158E" w:rsidRPr="00137570" w:rsidRDefault="006D3E7E" w:rsidP="009A158E">
      <w:pPr>
        <w:pStyle w:val="a4"/>
        <w:spacing w:line="276" w:lineRule="auto"/>
        <w:rPr>
          <w:rFonts w:ascii="Times New Roman" w:eastAsia="Times New Roman" w:hAnsi="Times New Roman"/>
          <w:b/>
          <w:i/>
          <w:sz w:val="20"/>
          <w:szCs w:val="20"/>
          <w:lang w:val="kk-KZ"/>
        </w:rPr>
      </w:pPr>
      <w:r w:rsidRPr="005852ED">
        <w:rPr>
          <w:rFonts w:ascii="Times New Roman" w:eastAsia="Times New Roman" w:hAnsi="Times New Roman"/>
          <w:b/>
          <w:i/>
          <w:sz w:val="18"/>
          <w:szCs w:val="18"/>
          <w:lang w:val="kk-KZ" w:eastAsia="ru-RU"/>
        </w:rPr>
        <w:t xml:space="preserve">Диаграмма 1. </w:t>
      </w:r>
      <w:r w:rsidR="009A158E" w:rsidRPr="00137570">
        <w:rPr>
          <w:rFonts w:ascii="Times New Roman" w:eastAsia="Times New Roman" w:hAnsi="Times New Roman"/>
          <w:b/>
          <w:i/>
          <w:sz w:val="20"/>
          <w:szCs w:val="20"/>
          <w:lang w:val="kk-KZ"/>
        </w:rPr>
        <w:t>Т</w:t>
      </w:r>
      <w:r w:rsidR="009A158E" w:rsidRPr="00137570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еңге және шетел валютасымен салынған  депозиттер өзгерісінің динамикасы </w:t>
      </w:r>
      <w:r w:rsidR="009A158E" w:rsidRPr="00137570">
        <w:rPr>
          <w:rFonts w:ascii="Times New Roman" w:eastAsia="Times New Roman" w:hAnsi="Times New Roman"/>
          <w:b/>
          <w:i/>
          <w:sz w:val="20"/>
          <w:szCs w:val="20"/>
          <w:lang w:val="kk-KZ"/>
        </w:rPr>
        <w:t>( % бойынша)</w:t>
      </w:r>
    </w:p>
    <w:p w:rsidR="006D3E7E" w:rsidRPr="005852ED" w:rsidRDefault="006D3E7E" w:rsidP="006D3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kk-KZ" w:eastAsia="ru-RU"/>
        </w:rPr>
      </w:pPr>
    </w:p>
    <w:p w:rsidR="00D80DAE" w:rsidRDefault="00D80DAE" w:rsidP="007E02E2">
      <w:pPr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B8545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5CA8E" wp14:editId="50886049">
                <wp:simplePos x="0" y="0"/>
                <wp:positionH relativeFrom="column">
                  <wp:posOffset>3938905</wp:posOffset>
                </wp:positionH>
                <wp:positionV relativeFrom="paragraph">
                  <wp:posOffset>2692400</wp:posOffset>
                </wp:positionV>
                <wp:extent cx="1343025" cy="26670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55" w:rsidRPr="009F4A67" w:rsidRDefault="009F4A67" w:rsidP="00B8545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  <w:t>ш</w:t>
                            </w:r>
                            <w:r w:rsidRPr="009F4A67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  <w:t>етел валютасымен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15pt;margin-top:212pt;width:10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" stroked="f">
                <v:textbox>
                  <w:txbxContent>
                    <w:p w:rsidR="00B85455" w:rsidRPr="009F4A67" w:rsidRDefault="009F4A67" w:rsidP="00B85455">
                      <w:pP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  <w:t>ш</w:t>
                      </w:r>
                      <w:r w:rsidRPr="009F4A67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  <w:t>етел валютасымен</w:t>
                      </w:r>
                    </w:p>
                  </w:txbxContent>
                </v:textbox>
              </v:shape>
            </w:pict>
          </mc:Fallback>
        </mc:AlternateContent>
      </w:r>
      <w:r w:rsidRPr="00B8545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91B48" wp14:editId="01B88A14">
                <wp:simplePos x="0" y="0"/>
                <wp:positionH relativeFrom="column">
                  <wp:posOffset>1663066</wp:posOffset>
                </wp:positionH>
                <wp:positionV relativeFrom="paragraph">
                  <wp:posOffset>2692400</wp:posOffset>
                </wp:positionV>
                <wp:extent cx="1066800" cy="21907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55" w:rsidRPr="00D80DAE" w:rsidRDefault="00D80DA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  <w:t>б</w:t>
                            </w:r>
                            <w:r w:rsidR="00E57C22" w:rsidRPr="00D80DA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kk-KZ"/>
                              </w:rPr>
                              <w:t>арлық депозит.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95pt;margin-top:212pt;width:8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" stroked="f">
                <v:textbox>
                  <w:txbxContent>
                    <w:p w:rsidR="00B85455" w:rsidRPr="00D80DAE" w:rsidRDefault="00D80DAE">
                      <w:pP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  <w:t>б</w:t>
                      </w:r>
                      <w:r w:rsidR="00E57C22" w:rsidRPr="00D80DA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kk-KZ"/>
                        </w:rPr>
                        <w:t>арлық депозит.</w:t>
                      </w:r>
                    </w:p>
                  </w:txbxContent>
                </v:textbox>
              </v:shape>
            </w:pict>
          </mc:Fallback>
        </mc:AlternateContent>
      </w:r>
      <w:r w:rsidRPr="005852ED">
        <w:rPr>
          <w:noProof/>
          <w:lang w:val="kk-KZ" w:eastAsia="ru-RU"/>
        </w:rPr>
        <w:t xml:space="preserve"> </w:t>
      </w:r>
      <w:r w:rsidR="00E57C22">
        <w:rPr>
          <w:noProof/>
          <w:lang w:eastAsia="ru-RU"/>
        </w:rPr>
        <w:drawing>
          <wp:inline distT="0" distB="0" distL="0" distR="0" wp14:anchorId="452515B4" wp14:editId="3ABE767A">
            <wp:extent cx="4962525" cy="3000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</w:p>
    <w:p w:rsidR="007E02E2" w:rsidRDefault="00D80DAE" w:rsidP="0030771E">
      <w:pPr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 xml:space="preserve">Қатысушы банктердің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депозиттерінің жиынтық қоржыны  жалпы үлесі 8</w:t>
      </w:r>
      <w:r>
        <w:rPr>
          <w:rFonts w:ascii="Times New Roman" w:eastAsia="SimSun" w:hAnsi="Times New Roman"/>
          <w:sz w:val="24"/>
          <w:szCs w:val="24"/>
          <w:lang w:val="kk-KZ"/>
        </w:rPr>
        <w:t>9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немесе 3,</w:t>
      </w:r>
      <w:r>
        <w:rPr>
          <w:rFonts w:ascii="Times New Roman" w:eastAsia="SimSun" w:hAnsi="Times New Roman"/>
          <w:sz w:val="24"/>
          <w:szCs w:val="24"/>
          <w:lang w:val="kk-KZ"/>
        </w:rPr>
        <w:t>9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трлн. теңге және тоқсандық өсімі </w:t>
      </w:r>
      <w:r>
        <w:rPr>
          <w:rFonts w:ascii="Times New Roman" w:eastAsia="SimSun" w:hAnsi="Times New Roman"/>
          <w:sz w:val="24"/>
          <w:szCs w:val="24"/>
          <w:lang w:val="kk-KZ"/>
        </w:rPr>
        <w:t>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3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мерзімді және шартты салымдардан,  жалпы үлесі </w:t>
      </w:r>
      <w:r w:rsidR="007E02E2">
        <w:rPr>
          <w:rFonts w:ascii="Times New Roman" w:eastAsia="SimSun" w:hAnsi="Times New Roman"/>
          <w:sz w:val="24"/>
          <w:szCs w:val="24"/>
          <w:lang w:val="kk-KZ"/>
        </w:rPr>
        <w:t>10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0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% немесе 43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6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EB655B" w:rsidRPr="00EB655B">
        <w:rPr>
          <w:rFonts w:ascii="Times New Roman" w:eastAsia="SimSun" w:hAnsi="Times New Roman"/>
          <w:sz w:val="24"/>
          <w:szCs w:val="24"/>
          <w:lang w:val="kk-KZ"/>
        </w:rPr>
        <w:t>5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және тоқсандық 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кемуі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5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7E02E2">
        <w:rPr>
          <w:rFonts w:ascii="Times New Roman" w:eastAsia="SimSun" w:hAnsi="Times New Roman"/>
          <w:sz w:val="24"/>
          <w:szCs w:val="24"/>
          <w:lang w:val="kk-KZ"/>
        </w:rPr>
        <w:t>8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="007E02E2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ағымдағы және карт-шоттардағы қалдықтардан, </w:t>
      </w:r>
      <w:r w:rsidR="007E02E2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сондай-ақ</w:t>
      </w:r>
      <w:r w:rsidR="007E02E2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жалпы үлесі 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0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9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% немесе 3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7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655173">
        <w:rPr>
          <w:rFonts w:ascii="Times New Roman" w:eastAsia="SimSun" w:hAnsi="Times New Roman"/>
          <w:sz w:val="24"/>
          <w:szCs w:val="24"/>
          <w:lang w:val="kk-KZ"/>
        </w:rPr>
        <w:t>7</w:t>
      </w:r>
      <w:r w:rsidR="007E02E2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болатын</w:t>
      </w:r>
      <w:r w:rsidR="007E02E2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талап етілгенге дейінгі салымдардан </w:t>
      </w:r>
      <w:r w:rsidR="007E02E2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құралған.</w:t>
      </w:r>
    </w:p>
    <w:p w:rsidR="00BF23DD" w:rsidRPr="00E12FAE" w:rsidRDefault="007E02E2" w:rsidP="00BF23DD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Мөлшері 5 млн. теңгеге дейінгі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мерзімді және шартты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қатысушы-банктердің жиынтық қоржынның </w:t>
      </w:r>
      <w:r w:rsidRPr="007E02E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29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% (немесе 1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Pr="007E02E2">
        <w:rPr>
          <w:rFonts w:ascii="Times New Roman" w:eastAsia="Times New Roman" w:hAnsi="Times New Roman"/>
          <w:sz w:val="24"/>
          <w:szCs w:val="24"/>
          <w:lang w:val="kk-KZ" w:eastAsia="it-IT"/>
        </w:rPr>
        <w:t>3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трлн.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), ол  тоқсан ішінде </w:t>
      </w:r>
      <w:r w:rsid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1</w:t>
      </w:r>
      <w:r w:rsidRPr="007E02E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5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9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өсті</w:t>
      </w:r>
      <w:r w:rsidR="003C0B5B">
        <w:rPr>
          <w:rFonts w:ascii="Times New Roman" w:eastAsia="SimSun" w:hAnsi="Times New Roman"/>
          <w:sz w:val="24"/>
          <w:szCs w:val="24"/>
          <w:lang w:val="kk-KZ"/>
        </w:rPr>
        <w:t xml:space="preserve"> (өткен тоқсанмен слыстырғанда 3 есе кем)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5млн.-нан 15 млн. теңгеге дейінгі мерзімді салымдар</w:t>
      </w:r>
      <w:r w:rsidR="003C0B5B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="003C0B5B" w:rsidRP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қоржыны</w:t>
      </w:r>
      <w:r w:rsid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қарастырылып отырған тоқсанда </w:t>
      </w:r>
      <w:r w:rsidRPr="00223C7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3C0B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0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 теңгеге 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өсіп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5</w:t>
      </w:r>
      <w:r w:rsidR="004D7C5B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2,6 млрд. теңгеге жетті және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жиынтық қоржынның 12,</w:t>
      </w:r>
      <w:r w:rsidR="00C67CC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% құрады.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15 млн. теңгеден  жоғары мерзімді және шартты салымдар </w:t>
      </w:r>
      <w:r w:rsidR="00C67CC4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2</w:t>
      </w:r>
      <w:r w:rsidRPr="00BC3EEE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C67CC4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1 трлн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. теңге</w:t>
      </w:r>
      <w:r w:rsidR="00F51A71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ні немесе жеке тұлғалар д</w:t>
      </w:r>
      <w:r w:rsidR="00F51A71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епозиттер</w:t>
      </w:r>
      <w:r w:rsidR="00F51A71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і</w:t>
      </w:r>
      <w:r w:rsidR="00F51A71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қоржынын</w:t>
      </w:r>
      <w:r w:rsidR="00F51A71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ың </w:t>
      </w:r>
      <w:r w:rsidR="00F51A71"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="00A76CCC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="00F51A71"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A76CCC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="00F51A71"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</w:t>
      </w:r>
      <w:r w:rsidR="00F51A71">
        <w:rPr>
          <w:rFonts w:ascii="Times New Roman" w:eastAsia="Times New Roman" w:hAnsi="Times New Roman"/>
          <w:sz w:val="24"/>
          <w:szCs w:val="24"/>
          <w:lang w:val="kk-KZ" w:eastAsia="ru-RU"/>
        </w:rPr>
        <w:t>-ін құрайды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Халықтың </w:t>
      </w:r>
      <w:r w:rsidR="00BF23DD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талап етілгенге дейінгі салымдары</w:t>
      </w:r>
      <w:r w:rsidR="00BF23DD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ның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тоқсан ішінде</w:t>
      </w:r>
      <w:r w:rsidR="00BF23D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гі өзгерісі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BF23DD">
        <w:rPr>
          <w:rFonts w:ascii="Times New Roman" w:eastAsia="Times New Roman" w:hAnsi="Times New Roman"/>
          <w:sz w:val="24"/>
          <w:szCs w:val="24"/>
          <w:lang w:val="kk-KZ" w:eastAsia="it-IT"/>
        </w:rPr>
        <w:t>-5</w:t>
      </w:r>
      <w:r w:rsidR="00BF23DD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</w:t>
      </w:r>
      <w:r w:rsidR="00BF23DD">
        <w:rPr>
          <w:rFonts w:ascii="Times New Roman" w:eastAsia="Times New Roman" w:hAnsi="Times New Roman"/>
          <w:sz w:val="24"/>
          <w:szCs w:val="24"/>
          <w:lang w:val="kk-KZ" w:eastAsia="it-IT"/>
        </w:rPr>
        <w:t>8</w:t>
      </w:r>
      <w:r w:rsidR="00BF23DD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млрд. теңге</w:t>
      </w:r>
      <w:r w:rsidR="00BF23DD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ні құрады. Сонымен бірге кему </w:t>
      </w:r>
      <w:r w:rsidR="00BF23DD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lastRenderedPageBreak/>
        <w:t>а</w:t>
      </w:r>
      <w:r w:rsidR="00BF23DD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ғымдағы және карт-шоттардағы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жиынтық қалдықтары</w:t>
      </w:r>
      <w:r w:rsidR="00BF23D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бойынша да байқалады (26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,</w:t>
      </w:r>
      <w:r w:rsidR="00BF23D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7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млрд.</w:t>
      </w:r>
      <w:r w:rsidR="00BF23DD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).</w:t>
      </w:r>
      <w:r w:rsidR="00BF23DD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</w:p>
    <w:p w:rsidR="007E02E2" w:rsidRPr="007E02E2" w:rsidRDefault="007E02E2" w:rsidP="006D3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89633C" w:rsidRPr="0089633C" w:rsidRDefault="006D3E7E" w:rsidP="0089633C">
      <w:pPr>
        <w:spacing w:after="0"/>
        <w:rPr>
          <w:rFonts w:ascii="Times New Roman" w:hAnsi="Times New Roman"/>
          <w:b/>
          <w:i/>
          <w:noProof/>
          <w:sz w:val="20"/>
          <w:szCs w:val="20"/>
          <w:lang w:val="kk-KZ" w:eastAsia="ru-RU"/>
        </w:rPr>
      </w:pPr>
      <w:r w:rsidRPr="0089633C">
        <w:rPr>
          <w:rFonts w:ascii="Times New Roman" w:hAnsi="Times New Roman"/>
          <w:b/>
          <w:i/>
          <w:noProof/>
          <w:sz w:val="18"/>
          <w:szCs w:val="18"/>
          <w:lang w:val="kk-KZ" w:eastAsia="ru-RU"/>
        </w:rPr>
        <w:t>Диаграмма 2.</w:t>
      </w:r>
      <w:r w:rsidRPr="0089633C">
        <w:rPr>
          <w:rFonts w:ascii="Times New Roman" w:eastAsia="Times New Roman" w:hAnsi="Times New Roman"/>
          <w:sz w:val="18"/>
          <w:szCs w:val="18"/>
          <w:lang w:val="kk-KZ" w:eastAsia="it-IT"/>
        </w:rPr>
        <w:t xml:space="preserve"> </w:t>
      </w:r>
      <w:r w:rsidR="0089633C" w:rsidRPr="00110126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>Жеке тұлғалар депозиттерінің негізгі категориялар бойынша</w:t>
      </w:r>
      <w:r w:rsidR="005852ED" w:rsidRPr="005852ED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 </w:t>
      </w:r>
      <w:r w:rsidR="005852ED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>құрылымы</w:t>
      </w:r>
      <w:r w:rsidR="0089633C" w:rsidRPr="00110126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  </w:t>
      </w:r>
      <w:r w:rsidR="0089633C" w:rsidRPr="00110126">
        <w:rPr>
          <w:rFonts w:ascii="Times New Roman" w:hAnsi="Times New Roman"/>
          <w:b/>
          <w:i/>
          <w:noProof/>
          <w:sz w:val="20"/>
          <w:szCs w:val="20"/>
          <w:lang w:val="kk-KZ" w:eastAsia="ru-RU"/>
        </w:rPr>
        <w:t>(млрд. теңге)</w:t>
      </w:r>
    </w:p>
    <w:p w:rsidR="006D3E7E" w:rsidRPr="005852ED" w:rsidRDefault="00E76A28" w:rsidP="006D3E7E">
      <w:pPr>
        <w:spacing w:before="120" w:after="120"/>
        <w:ind w:firstLine="567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76A2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1187" wp14:editId="250333B9">
                <wp:simplePos x="0" y="0"/>
                <wp:positionH relativeFrom="column">
                  <wp:posOffset>3872866</wp:posOffset>
                </wp:positionH>
                <wp:positionV relativeFrom="paragraph">
                  <wp:posOffset>720725</wp:posOffset>
                </wp:positionV>
                <wp:extent cx="2247900" cy="16097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28" w:rsidRDefault="00E76A28" w:rsidP="00E76A2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 теңгеге дейінгі мерзімді және шартты салымдар</w:t>
                            </w:r>
                          </w:p>
                          <w:p w:rsidR="00E76A28" w:rsidRDefault="00E76A28" w:rsidP="00E76A2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млн.-нан 15 млн. теңгеге дейінгі мерзімді және шартты салымдар</w:t>
                            </w:r>
                          </w:p>
                          <w:p w:rsidR="00E76A28" w:rsidRDefault="00E76A28" w:rsidP="00E76A2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15 млн. теңгеден жоғары мерзімді және шартты салымдар</w:t>
                            </w:r>
                          </w:p>
                          <w:p w:rsidR="00E76A28" w:rsidRDefault="00E76A28" w:rsidP="00E76A2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Талап етілгенге дейінгі салымдар</w:t>
                            </w:r>
                          </w:p>
                          <w:p w:rsidR="00E76A28" w:rsidRDefault="00E76A28" w:rsidP="00E76A2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Ағымдағы және карт-шоттардағы салымдар</w:t>
                            </w:r>
                          </w:p>
                          <w:p w:rsidR="00E76A28" w:rsidRPr="00E76A28" w:rsidRDefault="00E76A2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95pt;margin-top:56.75pt;width:17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" stroked="f">
                <v:textbox>
                  <w:txbxContent>
                    <w:p w:rsidR="00E76A28" w:rsidRDefault="00E76A28" w:rsidP="00E76A28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 млн. теңгеге дейінгі мерзімді және шартты салымдар</w:t>
                      </w:r>
                    </w:p>
                    <w:p w:rsidR="00E76A28" w:rsidRDefault="00E76A28" w:rsidP="00E76A28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 млн.-нан 15 млн. теңгеге дейінгі мерзімді және шартты салымдар</w:t>
                      </w:r>
                    </w:p>
                    <w:p w:rsidR="00E76A28" w:rsidRDefault="00E76A28" w:rsidP="00E76A28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15 млн. теңгеден жоғары мерзімді және шартты салымдар</w:t>
                      </w:r>
                    </w:p>
                    <w:p w:rsidR="00E76A28" w:rsidRDefault="00E76A28" w:rsidP="00E76A28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Талап етілгенге дейінгі салымдар</w:t>
                      </w:r>
                    </w:p>
                    <w:p w:rsidR="00E76A28" w:rsidRDefault="00E76A28" w:rsidP="00E76A28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Ағымдағы және карт-шоттардағы салымдар</w:t>
                      </w:r>
                    </w:p>
                    <w:p w:rsidR="00E76A28" w:rsidRPr="00E76A28" w:rsidRDefault="00E76A2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E7E">
        <w:rPr>
          <w:noProof/>
          <w:lang w:eastAsia="ru-RU"/>
        </w:rPr>
        <w:drawing>
          <wp:inline distT="0" distB="0" distL="0" distR="0" wp14:anchorId="304E968D" wp14:editId="51F26B33">
            <wp:extent cx="4848225" cy="26574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6CCC" w:rsidRPr="00E97068" w:rsidRDefault="007032B5" w:rsidP="00A76CC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>Б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арлық жеке тұлғалар депозиттерінің 6,</w:t>
      </w:r>
      <w:r>
        <w:rPr>
          <w:rFonts w:ascii="Times New Roman" w:eastAsia="SimSun" w:hAnsi="Times New Roman"/>
          <w:sz w:val="24"/>
          <w:szCs w:val="24"/>
          <w:lang w:val="kk-KZ"/>
        </w:rPr>
        <w:t>2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% немесе 2</w:t>
      </w:r>
      <w:r>
        <w:rPr>
          <w:rFonts w:ascii="Times New Roman" w:eastAsia="SimSun" w:hAnsi="Times New Roman"/>
          <w:sz w:val="24"/>
          <w:szCs w:val="24"/>
          <w:lang w:val="kk-KZ"/>
        </w:rPr>
        <w:t>69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>
        <w:rPr>
          <w:rFonts w:ascii="Times New Roman" w:eastAsia="SimSun" w:hAnsi="Times New Roman"/>
          <w:sz w:val="24"/>
          <w:szCs w:val="24"/>
          <w:lang w:val="kk-KZ"/>
        </w:rPr>
        <w:t>9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тиесілі. Есептік тоқсан ішінде мұндай депозиттер</w:t>
      </w:r>
      <w:r>
        <w:rPr>
          <w:rFonts w:ascii="Times New Roman" w:eastAsia="SimSun" w:hAnsi="Times New Roman"/>
          <w:sz w:val="24"/>
          <w:szCs w:val="24"/>
          <w:lang w:val="kk-KZ"/>
        </w:rPr>
        <w:t xml:space="preserve"> 3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A76CCC">
        <w:rPr>
          <w:rFonts w:ascii="Times New Roman" w:eastAsia="SimSun" w:hAnsi="Times New Roman"/>
          <w:sz w:val="24"/>
          <w:szCs w:val="24"/>
          <w:lang w:val="kk-KZ"/>
        </w:rPr>
        <w:t>6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теңгеге (</w:t>
      </w:r>
      <w:r w:rsidR="00BF23DD">
        <w:rPr>
          <w:rFonts w:ascii="Times New Roman" w:eastAsia="SimSun" w:hAnsi="Times New Roman"/>
          <w:sz w:val="24"/>
          <w:szCs w:val="24"/>
          <w:lang w:val="kk-KZ"/>
        </w:rPr>
        <w:t>-1</w:t>
      </w:r>
      <w:r w:rsidR="00A76CCC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BF23DD">
        <w:rPr>
          <w:rFonts w:ascii="Times New Roman" w:eastAsia="SimSun" w:hAnsi="Times New Roman"/>
          <w:sz w:val="24"/>
          <w:szCs w:val="24"/>
          <w:lang w:val="kk-KZ"/>
        </w:rPr>
        <w:t>3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 xml:space="preserve">%) </w:t>
      </w:r>
      <w:r w:rsidR="00BF23DD">
        <w:rPr>
          <w:rFonts w:ascii="Times New Roman" w:eastAsia="SimSun" w:hAnsi="Times New Roman"/>
          <w:sz w:val="24"/>
          <w:szCs w:val="24"/>
          <w:lang w:val="kk-KZ"/>
        </w:rPr>
        <w:t>кеміді</w:t>
      </w:r>
      <w:r w:rsidR="00A76CCC" w:rsidRPr="00E97068">
        <w:rPr>
          <w:rFonts w:ascii="Times New Roman" w:eastAsia="SimSun" w:hAnsi="Times New Roman"/>
          <w:sz w:val="24"/>
          <w:szCs w:val="24"/>
          <w:lang w:val="kk-KZ"/>
        </w:rPr>
        <w:t>.</w:t>
      </w:r>
    </w:p>
    <w:p w:rsidR="006D3E7E" w:rsidRPr="005852ED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D3E7E" w:rsidRPr="005852ED" w:rsidRDefault="006D3E7E" w:rsidP="006D3E7E">
      <w:pPr>
        <w:rPr>
          <w:rFonts w:ascii="Times New Roman" w:hAnsi="Times New Roman"/>
          <w:b/>
          <w:i/>
          <w:sz w:val="18"/>
          <w:szCs w:val="18"/>
          <w:lang w:val="kk-KZ"/>
        </w:rPr>
      </w:pPr>
      <w:r w:rsidRPr="005852ED">
        <w:rPr>
          <w:rFonts w:ascii="Times New Roman" w:hAnsi="Times New Roman"/>
          <w:b/>
          <w:i/>
          <w:sz w:val="18"/>
          <w:szCs w:val="18"/>
          <w:lang w:val="kk-KZ"/>
        </w:rPr>
        <w:t xml:space="preserve">Диаграмма 3. </w:t>
      </w:r>
      <w:r w:rsidR="00DF356A" w:rsidRPr="00DF356A">
        <w:rPr>
          <w:rFonts w:ascii="Times New Roman" w:hAnsi="Times New Roman"/>
          <w:b/>
          <w:i/>
          <w:sz w:val="18"/>
          <w:szCs w:val="18"/>
          <w:lang w:val="kk-KZ"/>
        </w:rPr>
        <w:t>Б</w:t>
      </w:r>
      <w:r w:rsidR="00DF356A" w:rsidRPr="00DF356A">
        <w:rPr>
          <w:rFonts w:ascii="Times New Roman" w:eastAsia="SimSun" w:hAnsi="Times New Roman"/>
          <w:b/>
          <w:i/>
          <w:sz w:val="18"/>
          <w:szCs w:val="18"/>
          <w:lang w:val="kk-KZ"/>
        </w:rPr>
        <w:t>анктің басқарушы қызметкерлері мен акционерлер</w:t>
      </w:r>
      <w:r w:rsidR="00DF356A" w:rsidRPr="00DF356A">
        <w:rPr>
          <w:rFonts w:ascii="Times New Roman" w:hAnsi="Times New Roman"/>
          <w:b/>
          <w:bCs/>
          <w:i/>
          <w:iCs/>
          <w:sz w:val="18"/>
          <w:szCs w:val="18"/>
          <w:lang w:val="kk-KZ"/>
        </w:rPr>
        <w:t xml:space="preserve">іне тиесілі салымдардың тоқсандық өзгерісі </w:t>
      </w:r>
    </w:p>
    <w:p w:rsidR="006D3E7E" w:rsidRDefault="006D3E7E" w:rsidP="006D3E7E">
      <w:pPr>
        <w:spacing w:before="120" w:after="12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076469" wp14:editId="22A3E4AA">
            <wp:extent cx="4323715" cy="1931670"/>
            <wp:effectExtent l="0" t="0" r="63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B3D" w:rsidRPr="00783616" w:rsidRDefault="00233B3D" w:rsidP="00233B3D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 xml:space="preserve">Екінші деңгейдегі банктердегі жеке тұлғалардың депозиттері бойынша Қор өтеуге қажетті кепілдік берілген өтемнің мөлшері 2014 жылдың 1 </w:t>
      </w:r>
      <w:r w:rsidR="00607E7D">
        <w:rPr>
          <w:rFonts w:ascii="Times New Roman" w:hAnsi="Times New Roman"/>
          <w:sz w:val="24"/>
          <w:szCs w:val="24"/>
          <w:lang w:val="kk-KZ"/>
        </w:rPr>
        <w:t>қазандағы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жағдайы бойынша 2,</w:t>
      </w:r>
      <w:r w:rsidR="00607E7D">
        <w:rPr>
          <w:rFonts w:ascii="Times New Roman" w:hAnsi="Times New Roman"/>
          <w:sz w:val="24"/>
          <w:szCs w:val="24"/>
          <w:lang w:val="kk-KZ"/>
        </w:rPr>
        <w:t>2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трлн. теңгеге жетті. Сонымен бірге, есеп беретін күнге тоқсандағы Қордың арнайы резерві Қордың жарғылық капиталының қаражатын есептемегенде </w:t>
      </w:r>
      <w:r w:rsidR="00607E7D">
        <w:rPr>
          <w:rFonts w:ascii="Times New Roman" w:hAnsi="Times New Roman"/>
          <w:sz w:val="24"/>
          <w:szCs w:val="24"/>
          <w:lang w:val="kk-KZ"/>
        </w:rPr>
        <w:t>202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Заңнама бойынша, Қордың арнайы резервінің тапшылығы кезінде Қор акционерінің рұқсатымен Қордың жарғылық капиталының 70% қолдануға болады. Осылайша, есеп беретін күнге Қордың арнайы резервінің мөлшері </w:t>
      </w:r>
      <w:r w:rsidR="00607E7D">
        <w:rPr>
          <w:rFonts w:ascii="Times New Roman" w:hAnsi="Times New Roman"/>
          <w:sz w:val="24"/>
          <w:szCs w:val="24"/>
          <w:lang w:val="kk-KZ"/>
        </w:rPr>
        <w:t>305</w:t>
      </w:r>
      <w:r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607E7D">
        <w:rPr>
          <w:rFonts w:ascii="Times New Roman" w:hAnsi="Times New Roman"/>
          <w:sz w:val="24"/>
          <w:szCs w:val="24"/>
          <w:lang w:val="kk-KZ"/>
        </w:rPr>
        <w:t>0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</w:t>
      </w:r>
      <w:r>
        <w:rPr>
          <w:rFonts w:ascii="Times New Roman" w:hAnsi="Times New Roman"/>
          <w:sz w:val="24"/>
          <w:szCs w:val="24"/>
          <w:lang w:val="kk-KZ"/>
        </w:rPr>
        <w:t xml:space="preserve">немесе </w:t>
      </w:r>
      <w:r w:rsidRPr="00783616">
        <w:rPr>
          <w:rFonts w:ascii="Times New Roman" w:hAnsi="Times New Roman"/>
          <w:sz w:val="24"/>
          <w:szCs w:val="24"/>
          <w:lang w:val="kk-KZ"/>
        </w:rPr>
        <w:t>кепіл берілетін жиынтық соманың 1</w:t>
      </w:r>
      <w:r w:rsidR="00607E7D">
        <w:rPr>
          <w:rFonts w:ascii="Times New Roman" w:hAnsi="Times New Roman"/>
          <w:sz w:val="24"/>
          <w:szCs w:val="24"/>
          <w:lang w:val="kk-KZ"/>
        </w:rPr>
        <w:t>3</w:t>
      </w:r>
      <w:r w:rsidRPr="00783616">
        <w:rPr>
          <w:rFonts w:ascii="Times New Roman" w:hAnsi="Times New Roman"/>
          <w:sz w:val="24"/>
          <w:szCs w:val="24"/>
          <w:lang w:val="kk-KZ"/>
        </w:rPr>
        <w:t>,</w:t>
      </w:r>
      <w:r w:rsidR="00607E7D">
        <w:rPr>
          <w:rFonts w:ascii="Times New Roman" w:hAnsi="Times New Roman"/>
          <w:sz w:val="24"/>
          <w:szCs w:val="24"/>
          <w:lang w:val="kk-KZ"/>
        </w:rPr>
        <w:t>6</w:t>
      </w:r>
      <w:r w:rsidRPr="00783616">
        <w:rPr>
          <w:rFonts w:ascii="Times New Roman" w:hAnsi="Times New Roman"/>
          <w:sz w:val="24"/>
          <w:szCs w:val="24"/>
          <w:lang w:val="kk-KZ"/>
        </w:rPr>
        <w:t>%-ін және жалпы депозиттер</w:t>
      </w:r>
      <w:r>
        <w:rPr>
          <w:rFonts w:ascii="Times New Roman" w:hAnsi="Times New Roman"/>
          <w:sz w:val="24"/>
          <w:szCs w:val="24"/>
          <w:lang w:val="kk-KZ"/>
        </w:rPr>
        <w:t xml:space="preserve"> сомасының</w:t>
      </w:r>
      <w:r w:rsidRPr="007836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7E7D">
        <w:rPr>
          <w:rFonts w:ascii="Times New Roman" w:hAnsi="Times New Roman"/>
          <w:sz w:val="24"/>
          <w:szCs w:val="24"/>
          <w:lang w:val="kk-KZ"/>
        </w:rPr>
        <w:t>7</w:t>
      </w:r>
      <w:r w:rsidRPr="00783616">
        <w:rPr>
          <w:rFonts w:ascii="Times New Roman" w:hAnsi="Times New Roman"/>
          <w:sz w:val="24"/>
          <w:szCs w:val="24"/>
          <w:lang w:val="kk-KZ"/>
        </w:rPr>
        <w:t>,</w:t>
      </w:r>
      <w:r w:rsidR="00607E7D">
        <w:rPr>
          <w:rFonts w:ascii="Times New Roman" w:hAnsi="Times New Roman"/>
          <w:sz w:val="24"/>
          <w:szCs w:val="24"/>
          <w:lang w:val="kk-KZ"/>
        </w:rPr>
        <w:t>0</w:t>
      </w:r>
      <w:r w:rsidRPr="00783616">
        <w:rPr>
          <w:rFonts w:ascii="Times New Roman" w:hAnsi="Times New Roman"/>
          <w:sz w:val="24"/>
          <w:szCs w:val="24"/>
          <w:lang w:val="kk-KZ"/>
        </w:rPr>
        <w:t>%-ін құрайды.</w:t>
      </w:r>
    </w:p>
    <w:p w:rsidR="000B3432" w:rsidRPr="00E97068" w:rsidRDefault="000B3432" w:rsidP="000B3432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kk-KZ" w:eastAsia="ru-RU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lastRenderedPageBreak/>
        <w:t xml:space="preserve">Есептік тоқсанның қорытындысы бойынша «БАТА» міндетті күнтізбелік сараланған жарналар мөлшерлемелерін есептеу жүйесіне сәйкес, </w:t>
      </w:r>
      <w:r>
        <w:rPr>
          <w:rFonts w:ascii="Times New Roman" w:hAnsi="Times New Roman"/>
          <w:sz w:val="24"/>
          <w:szCs w:val="24"/>
          <w:lang w:val="kk-KZ"/>
        </w:rPr>
        <w:t xml:space="preserve">5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қатысушы банктің көрсеткіштері </w:t>
      </w:r>
      <w:r>
        <w:rPr>
          <w:rFonts w:ascii="Times New Roman" w:hAnsi="Times New Roman"/>
          <w:sz w:val="24"/>
          <w:szCs w:val="24"/>
          <w:lang w:val="kk-KZ"/>
        </w:rPr>
        <w:t xml:space="preserve">жақсарды.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Нәтижесінде жіктеу топтарындағы банктердің үлесі келесідей: «A» тобының үлесі - 2,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% (1 банк), «B» тобының үлесі - 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18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«C» тобының үлесі - 4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(1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банк), «D» тобының үлесі - 2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% (11 банк), «Е» тобының үлесі - 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,7% (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банк</w:t>
      </w:r>
      <w:r w:rsidRPr="00E9706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)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«S» тобының үлесі - 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% (</w:t>
      </w:r>
      <w:r w:rsidR="00011D07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E97068">
        <w:rPr>
          <w:rFonts w:ascii="Times New Roman" w:hAnsi="Times New Roman"/>
          <w:color w:val="000000"/>
          <w:sz w:val="24"/>
          <w:szCs w:val="24"/>
          <w:lang w:val="kk-KZ"/>
        </w:rPr>
        <w:t xml:space="preserve"> банк).</w:t>
      </w:r>
    </w:p>
    <w:p w:rsidR="00011D07" w:rsidRPr="00C27B00" w:rsidRDefault="006D3E7E" w:rsidP="00011D07">
      <w:pPr>
        <w:spacing w:after="120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11D07">
        <w:rPr>
          <w:rFonts w:ascii="Times New Roman" w:hAnsi="Times New Roman"/>
          <w:b/>
          <w:i/>
          <w:sz w:val="20"/>
          <w:szCs w:val="20"/>
          <w:lang w:val="kk-KZ" w:eastAsia="ru-RU"/>
        </w:rPr>
        <w:t xml:space="preserve">Диаграмма 4 .  </w:t>
      </w:r>
      <w:r w:rsidR="00011D07" w:rsidRPr="00C27B00">
        <w:rPr>
          <w:rFonts w:ascii="Times New Roman" w:hAnsi="Times New Roman"/>
          <w:b/>
          <w:i/>
          <w:sz w:val="20"/>
          <w:szCs w:val="20"/>
          <w:lang w:val="kk-KZ" w:eastAsia="ru-RU"/>
        </w:rPr>
        <w:t xml:space="preserve">«БАТА» Жүйесінің жіктеу топтарындағы банктердің тоқсандық динамикасы </w:t>
      </w:r>
    </w:p>
    <w:p w:rsidR="006D3E7E" w:rsidRDefault="003C4DFE" w:rsidP="006D3E7E">
      <w:pPr>
        <w:tabs>
          <w:tab w:val="left" w:pos="7371"/>
        </w:tabs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B15A4">
        <w:rPr>
          <w:rFonts w:ascii="Times New Roman" w:hAnsi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1AE30" wp14:editId="5C143EE1">
                <wp:simplePos x="0" y="0"/>
                <wp:positionH relativeFrom="column">
                  <wp:posOffset>2653665</wp:posOffset>
                </wp:positionH>
                <wp:positionV relativeFrom="paragraph">
                  <wp:posOffset>2880360</wp:posOffset>
                </wp:positionV>
                <wp:extent cx="581025" cy="219075"/>
                <wp:effectExtent l="0" t="0" r="9525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2E" w:rsidRPr="005556B3" w:rsidRDefault="00CD182E" w:rsidP="00CD18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C </w:t>
                            </w:r>
                            <w:r w:rsid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kk-KZ"/>
                              </w:rPr>
                              <w:t>обы</w:t>
                            </w:r>
                          </w:p>
                          <w:p w:rsidR="006B15A4" w:rsidRDefault="006B15A4" w:rsidP="006B1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95pt;margin-top:226.8pt;width:4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" stroked="f">
                <v:textbox>
                  <w:txbxContent>
                    <w:p w:rsidR="00CD182E" w:rsidRPr="005556B3" w:rsidRDefault="00CD182E" w:rsidP="00CD182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C </w:t>
                      </w:r>
                      <w:r w:rsid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т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kk-KZ"/>
                        </w:rPr>
                        <w:t>обы</w:t>
                      </w:r>
                    </w:p>
                    <w:p w:rsidR="006B15A4" w:rsidRDefault="006B15A4" w:rsidP="006B15A4"/>
                  </w:txbxContent>
                </v:textbox>
              </v:shape>
            </w:pict>
          </mc:Fallback>
        </mc:AlternateContent>
      </w:r>
      <w:r w:rsidRPr="006B15A4">
        <w:rPr>
          <w:rFonts w:ascii="Times New Roman" w:hAnsi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D169B" wp14:editId="6418FC1E">
                <wp:simplePos x="0" y="0"/>
                <wp:positionH relativeFrom="column">
                  <wp:posOffset>3339465</wp:posOffset>
                </wp:positionH>
                <wp:positionV relativeFrom="paragraph">
                  <wp:posOffset>2889885</wp:posOffset>
                </wp:positionV>
                <wp:extent cx="581025" cy="219075"/>
                <wp:effectExtent l="0" t="0" r="9525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3" w:rsidRPr="005556B3" w:rsidRDefault="005556B3" w:rsidP="005556B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kk-KZ"/>
                              </w:rPr>
                              <w:t>обы</w:t>
                            </w:r>
                          </w:p>
                          <w:p w:rsidR="006B15A4" w:rsidRDefault="006B15A4" w:rsidP="006B1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95pt;margin-top:227.55pt;width:4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" stroked="f">
                <v:textbox>
                  <w:txbxContent>
                    <w:p w:rsidR="005556B3" w:rsidRPr="005556B3" w:rsidRDefault="005556B3" w:rsidP="005556B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т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kk-KZ"/>
                        </w:rPr>
                        <w:t>обы</w:t>
                      </w:r>
                    </w:p>
                    <w:p w:rsidR="006B15A4" w:rsidRDefault="006B15A4" w:rsidP="006B15A4"/>
                  </w:txbxContent>
                </v:textbox>
              </v:shape>
            </w:pict>
          </mc:Fallback>
        </mc:AlternateContent>
      </w:r>
      <w:r w:rsidR="006B15A4" w:rsidRPr="006B15A4">
        <w:rPr>
          <w:rFonts w:ascii="Times New Roman" w:hAnsi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CF380" wp14:editId="13663EDC">
                <wp:simplePos x="0" y="0"/>
                <wp:positionH relativeFrom="column">
                  <wp:posOffset>4072890</wp:posOffset>
                </wp:positionH>
                <wp:positionV relativeFrom="paragraph">
                  <wp:posOffset>2889885</wp:posOffset>
                </wp:positionV>
                <wp:extent cx="581025" cy="219075"/>
                <wp:effectExtent l="0" t="0" r="95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3" w:rsidRPr="005556B3" w:rsidRDefault="005556B3" w:rsidP="005556B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kk-KZ"/>
                              </w:rPr>
                              <w:t>обы</w:t>
                            </w:r>
                          </w:p>
                          <w:p w:rsidR="006B15A4" w:rsidRDefault="006B15A4" w:rsidP="006B1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7pt;margin-top:227.55pt;width:45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" stroked="f">
                <v:textbox>
                  <w:txbxContent>
                    <w:p w:rsidR="005556B3" w:rsidRPr="005556B3" w:rsidRDefault="005556B3" w:rsidP="005556B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т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kk-KZ"/>
                        </w:rPr>
                        <w:t>обы</w:t>
                      </w:r>
                    </w:p>
                    <w:p w:rsidR="006B15A4" w:rsidRDefault="006B15A4" w:rsidP="006B15A4"/>
                  </w:txbxContent>
                </v:textbox>
              </v:shape>
            </w:pict>
          </mc:Fallback>
        </mc:AlternateContent>
      </w:r>
      <w:r w:rsidR="006B15A4" w:rsidRPr="006B15A4">
        <w:rPr>
          <w:rFonts w:ascii="Times New Roman" w:hAnsi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62ABA" wp14:editId="3A22133D">
                <wp:simplePos x="0" y="0"/>
                <wp:positionH relativeFrom="column">
                  <wp:posOffset>4758690</wp:posOffset>
                </wp:positionH>
                <wp:positionV relativeFrom="paragraph">
                  <wp:posOffset>2880360</wp:posOffset>
                </wp:positionV>
                <wp:extent cx="581025" cy="219075"/>
                <wp:effectExtent l="0" t="0" r="9525" b="95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3" w:rsidRPr="005556B3" w:rsidRDefault="005556B3" w:rsidP="005556B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т</w:t>
                            </w:r>
                            <w:r w:rsidRPr="005556B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kk-KZ"/>
                              </w:rPr>
                              <w:t>обы</w:t>
                            </w:r>
                          </w:p>
                          <w:p w:rsidR="006B15A4" w:rsidRDefault="006B15A4" w:rsidP="006B1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7pt;margin-top:226.8pt;width:45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" stroked="f">
                <v:textbox>
                  <w:txbxContent>
                    <w:p w:rsidR="005556B3" w:rsidRPr="005556B3" w:rsidRDefault="005556B3" w:rsidP="005556B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т</w:t>
                      </w:r>
                      <w:r w:rsidRPr="005556B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kk-KZ"/>
                        </w:rPr>
                        <w:t>обы</w:t>
                      </w:r>
                    </w:p>
                    <w:p w:rsidR="006B15A4" w:rsidRDefault="006B15A4" w:rsidP="006B15A4"/>
                  </w:txbxContent>
                </v:textbox>
              </v:shape>
            </w:pict>
          </mc:Fallback>
        </mc:AlternateContent>
      </w:r>
      <w:r w:rsidR="006B15A4" w:rsidRPr="006B15A4">
        <w:rPr>
          <w:rFonts w:ascii="Times New Roman" w:hAnsi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C5104" wp14:editId="57FCE6BC">
                <wp:simplePos x="0" y="0"/>
                <wp:positionH relativeFrom="column">
                  <wp:posOffset>1215390</wp:posOffset>
                </wp:positionH>
                <wp:positionV relativeFrom="paragraph">
                  <wp:posOffset>2889885</wp:posOffset>
                </wp:positionV>
                <wp:extent cx="581025" cy="21907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51" w:rsidRPr="00034DB0" w:rsidRDefault="006F7251" w:rsidP="006F7251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034DB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 тобы</w:t>
                            </w:r>
                          </w:p>
                          <w:p w:rsidR="006B15A4" w:rsidRDefault="006B1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5.7pt;margin-top:227.55pt;width:4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" stroked="f">
                <v:textbox>
                  <w:txbxContent>
                    <w:p w:rsidR="006F7251" w:rsidRPr="00034DB0" w:rsidRDefault="006F7251" w:rsidP="006F7251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034DB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kk-KZ"/>
                        </w:rPr>
                        <w:t>тобы</w:t>
                      </w:r>
                    </w:p>
                    <w:p w:rsidR="006B15A4" w:rsidRDefault="006B15A4"/>
                  </w:txbxContent>
                </v:textbox>
              </v:shape>
            </w:pict>
          </mc:Fallback>
        </mc:AlternateContent>
      </w:r>
      <w:r w:rsidR="006D3E7E">
        <w:rPr>
          <w:noProof/>
          <w:lang w:eastAsia="ru-RU"/>
        </w:rPr>
        <w:drawing>
          <wp:inline distT="0" distB="0" distL="0" distR="0" wp14:anchorId="5F9B4E34" wp14:editId="64141241">
            <wp:extent cx="5124450" cy="31908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E7E" w:rsidRDefault="006D3E7E" w:rsidP="006D3E7E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3620D1" w:rsidRPr="00E97068" w:rsidRDefault="003620D1" w:rsidP="003620D1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2014 ж. 1 </w:t>
      </w:r>
      <w:r>
        <w:rPr>
          <w:rFonts w:ascii="Times New Roman" w:eastAsia="SimSun" w:hAnsi="Times New Roman"/>
          <w:sz w:val="24"/>
          <w:szCs w:val="24"/>
          <w:lang w:val="kk-KZ"/>
        </w:rPr>
        <w:t>қарашадағы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жағдайы бойынша Қор төлеген кепілдік берілген өтемнің жиынтық сомасы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679,5 млн. теңгені,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13,9 млрд. теңгені құрады. Қордың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Банкінің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ликвидациялық комиссиясынан  кепілдік берілген өтемді төлеген сомасы бойынша талаптарын қанағаттандыру барысында алынған сома мөлшері 679,4 млн. теңге немесе ликвидациялық коммиссиясына қойылған барлық талап сомасының 88,01%,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8,</w:t>
      </w:r>
      <w:r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немесе Қордың ликвидациялық коммиссиясына қойылған талап сомасының </w:t>
      </w:r>
      <w:r>
        <w:rPr>
          <w:rFonts w:ascii="Times New Roman" w:eastAsia="SimSun" w:hAnsi="Times New Roman"/>
          <w:sz w:val="24"/>
          <w:szCs w:val="24"/>
          <w:lang w:val="kk-KZ"/>
        </w:rPr>
        <w:t>61,21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өндірілді.</w:t>
      </w: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6D3E7E" w:rsidRPr="005852ED" w:rsidRDefault="006D3E7E" w:rsidP="006D3E7E">
      <w:pPr>
        <w:jc w:val="center"/>
        <w:rPr>
          <w:rFonts w:ascii="Times New Roman" w:hAnsi="Times New Roman"/>
          <w:i/>
          <w:sz w:val="24"/>
          <w:lang w:val="kk-KZ"/>
        </w:rPr>
      </w:pPr>
    </w:p>
    <w:p w:rsidR="001F3761" w:rsidRDefault="001F3761" w:rsidP="001F3761">
      <w:pPr>
        <w:tabs>
          <w:tab w:val="left" w:pos="6885"/>
        </w:tabs>
        <w:spacing w:after="120"/>
        <w:jc w:val="right"/>
        <w:rPr>
          <w:rFonts w:ascii="Times New Roman" w:eastAsia="Times New Roman" w:hAnsi="Times New Roman"/>
          <w:color w:val="0000CC"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  <w:lang w:val="kk-KZ"/>
        </w:rPr>
        <w:lastRenderedPageBreak/>
        <w:t>Қосымша 1</w:t>
      </w:r>
    </w:p>
    <w:p w:rsidR="001F3761" w:rsidRDefault="001F3761" w:rsidP="001F3761">
      <w:pPr>
        <w:spacing w:after="0" w:line="240" w:lineRule="auto"/>
        <w:ind w:left="-540"/>
        <w:jc w:val="center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 xml:space="preserve">2014 жылдың 1 қазанына сәйкес </w:t>
      </w:r>
    </w:p>
    <w:p w:rsidR="001F3761" w:rsidRDefault="001F3761" w:rsidP="001F3761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sz w:val="24"/>
          <w:szCs w:val="24"/>
          <w:lang w:val="kk-KZ"/>
        </w:rPr>
        <w:t>қатысушы банктердің жеке тұлғалар депозиттері бойынша мәліметтерінің жиынтығы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984"/>
        <w:gridCol w:w="1620"/>
        <w:gridCol w:w="1394"/>
        <w:gridCol w:w="1316"/>
      </w:tblGrid>
      <w:tr w:rsidR="004639B4" w:rsidTr="004639B4">
        <w:trPr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9B4" w:rsidRPr="005A63A3" w:rsidRDefault="004639B4" w:rsidP="00E6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№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9B4" w:rsidRPr="005A63A3" w:rsidRDefault="004639B4" w:rsidP="00E6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Аталуы</w:t>
            </w:r>
            <w:r w:rsidRPr="005A63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9B4" w:rsidRPr="005A63A3" w:rsidRDefault="004639B4" w:rsidP="00E6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Сомасы</w:t>
            </w:r>
            <w:r w:rsidRPr="005A63A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мың теңге</w:t>
            </w:r>
            <w:r w:rsidRPr="005A63A3">
              <w:rPr>
                <w:rFonts w:ascii="Times New Roman" w:hAnsi="Times New Roman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9B4" w:rsidRPr="005A63A3" w:rsidRDefault="004639B4" w:rsidP="0046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6ED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  <w:r w:rsidRPr="005966E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ж</w:t>
            </w:r>
            <w:r>
              <w:rPr>
                <w:rFonts w:ascii="Times New Roman" w:hAnsi="Times New Roman"/>
                <w:lang w:val="kk-KZ"/>
              </w:rPr>
              <w:t>.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- тоқсандағы өзгері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9B4" w:rsidRPr="005A63A3" w:rsidRDefault="004639B4" w:rsidP="00E65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Шоттардың саны</w:t>
            </w:r>
            <w:r w:rsidRPr="005A63A3">
              <w:rPr>
                <w:rFonts w:ascii="Times New Roman" w:hAnsi="Times New Roman"/>
              </w:rPr>
              <w:t xml:space="preserve"> </w:t>
            </w:r>
          </w:p>
        </w:tc>
      </w:tr>
      <w:tr w:rsidR="004639B4" w:rsidTr="004639B4">
        <w:trPr>
          <w:trHeight w:val="5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AB1117" w:rsidRDefault="004639B4" w:rsidP="00E6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7097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Барлық жеке тұлғалар депозиттері  </w:t>
            </w:r>
            <w:r w:rsidRPr="00F7097D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теңгемен</w:t>
            </w:r>
            <w:r w:rsidRPr="00F70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9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</w:t>
            </w:r>
            <w:r w:rsidRPr="00F7097D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 xml:space="preserve">шетел валютасымен, </w:t>
            </w:r>
            <w:r w:rsidRPr="00F7097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оның ішінде: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4 382 825 566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18 145 001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22 867 533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val="kk-KZ"/>
              </w:rPr>
              <w:t>Талап етілгенге дейінгі салымдар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, оның ішінде: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37 667 224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-5 805 521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15 676 587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-1 591 198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21 990 637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-4 214 323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124 700</w:t>
            </w:r>
          </w:p>
        </w:tc>
      </w:tr>
      <w:tr w:rsidR="004639B4" w:rsidTr="004639B4">
        <w:trPr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талап етілгенге дейінгі салымдар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8 660 727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-2 641 871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Мерзімді және шартты салымдар, оның ішінде: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3 908 622 595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50 685 008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2 576 385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1 575 215 977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-39 090 449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1 937 749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278 608 609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-4 890 308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1 620 914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368 852 780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-7 986 500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225 801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200 191 545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-5 921 932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51 969</w:t>
            </w:r>
          </w:p>
        </w:tc>
      </w:tr>
      <w:tr w:rsidR="004639B4" w:rsidTr="004639B4">
        <w:trPr>
          <w:trHeight w:val="3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173 668 730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-3 374 265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27 227</w:t>
            </w:r>
          </w:p>
        </w:tc>
      </w:tr>
      <w:tr w:rsidR="004639B4" w:rsidTr="004639B4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55 348 335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-3 309 614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4 644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498 545 978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-13 607 831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7 194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2.2.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2 333 406 618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89 775 457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638 636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91 521 495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6 588 884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431 406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197 137 565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13 233 617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111 003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167 345 483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14 892 382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42 310</w:t>
            </w:r>
          </w:p>
        </w:tc>
      </w:tr>
      <w:tr w:rsidR="004639B4" w:rsidTr="004639B4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206 895 135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6 547 388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30 277</w:t>
            </w:r>
          </w:p>
        </w:tc>
      </w:tr>
      <w:tr w:rsidR="004639B4" w:rsidTr="004639B4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96 707 943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3 165 003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7 971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1 573 798 997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45 348 183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15 669</w:t>
            </w:r>
          </w:p>
        </w:tc>
      </w:tr>
      <w:tr w:rsidR="004639B4" w:rsidTr="004639B4">
        <w:trPr>
          <w:trHeight w:val="7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мерзімді және шартты  салымдар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259 208 566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921 893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</w:t>
            </w:r>
          </w:p>
        </w:tc>
      </w:tr>
      <w:tr w:rsidR="004639B4" w:rsidTr="004639B4">
        <w:trPr>
          <w:trHeight w:val="5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Ағымдық шоттардағы ақша қалдықтары (карт-шоттағы қалдықты қоса есептегенде) оның ішінде: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436 535 747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-26 734 486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18 664 229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3.1.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369 884 276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-25 351 914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17 806 988</w:t>
            </w:r>
          </w:p>
        </w:tc>
      </w:tr>
      <w:tr w:rsidR="004639B4" w:rsidTr="004639B4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after="0" w:line="240" w:lineRule="auto"/>
              <w:rPr>
                <w:rFonts w:ascii="Times New Roman" w:hAnsi="Times New Roman"/>
              </w:rPr>
            </w:pPr>
            <w:r w:rsidRPr="005A63A3">
              <w:rPr>
                <w:rFonts w:ascii="Times New Roman" w:hAnsi="Times New Roman"/>
              </w:rPr>
              <w:t>3.2.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66 651 471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-1 382 572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857 241</w:t>
            </w:r>
          </w:p>
        </w:tc>
      </w:tr>
      <w:tr w:rsidR="004639B4" w:rsidTr="004639B4">
        <w:trPr>
          <w:trHeight w:val="10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63A3" w:rsidRDefault="004639B4" w:rsidP="00E650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9B4" w:rsidRDefault="004639B4" w:rsidP="00E650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ағымдық шоттардағы ақша қалдықтары (карт-шоттағы қалдықты қоса есептегенде)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2 033 936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-1 836 964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B4" w:rsidRPr="005A4524" w:rsidRDefault="0046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14 459</w:t>
            </w:r>
          </w:p>
        </w:tc>
      </w:tr>
    </w:tbl>
    <w:p w:rsidR="006D3E7E" w:rsidRDefault="006D3E7E" w:rsidP="006D3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</w:p>
    <w:p w:rsidR="00F811DD" w:rsidRPr="00F46AC4" w:rsidRDefault="006D3E7E" w:rsidP="00F46AC4">
      <w:pPr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</w:p>
    <w:sectPr w:rsidR="00F811DD" w:rsidRPr="00F46AC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A9" w:rsidRDefault="00C823A9" w:rsidP="006D3E7E">
      <w:pPr>
        <w:spacing w:after="0" w:line="240" w:lineRule="auto"/>
      </w:pPr>
      <w:r>
        <w:separator/>
      </w:r>
    </w:p>
  </w:endnote>
  <w:endnote w:type="continuationSeparator" w:id="0">
    <w:p w:rsidR="00C823A9" w:rsidRDefault="00C823A9" w:rsidP="006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A9" w:rsidRDefault="00C823A9" w:rsidP="006D3E7E">
      <w:pPr>
        <w:spacing w:after="0" w:line="240" w:lineRule="auto"/>
      </w:pPr>
      <w:r>
        <w:separator/>
      </w:r>
    </w:p>
  </w:footnote>
  <w:footnote w:type="continuationSeparator" w:id="0">
    <w:p w:rsidR="00C823A9" w:rsidRDefault="00C823A9" w:rsidP="006D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0A" w:rsidRDefault="00A65E0A" w:rsidP="00A65E0A">
    <w:pPr>
      <w:pStyle w:val="a8"/>
      <w:ind w:left="709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C59B904" wp14:editId="691B7C4F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6" name="Рисунок 6" descr="Описание: 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  <w:lang w:val="kk-KZ"/>
      </w:rPr>
      <w:t>Қазақстанның депозиттерге кепілдік беру қоры</w:t>
    </w:r>
  </w:p>
  <w:p w:rsidR="006D3E7E" w:rsidRPr="006D3E7E" w:rsidRDefault="00A65E0A" w:rsidP="00A65E0A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val="x-none" w:eastAsia="x-none" w:bidi="sa-IN"/>
      </w:rPr>
    </w:pPr>
    <w:r>
      <w:rPr>
        <w:rFonts w:ascii="Times New Roman" w:hAnsi="Times New Roman"/>
        <w:i/>
        <w:sz w:val="18"/>
        <w:szCs w:val="18"/>
      </w:rPr>
      <w:t>20</w:t>
    </w:r>
    <w:r>
      <w:rPr>
        <w:rFonts w:ascii="Times New Roman" w:hAnsi="Times New Roman"/>
        <w:i/>
        <w:sz w:val="18"/>
        <w:szCs w:val="18"/>
        <w:lang w:val="kk-KZ"/>
      </w:rPr>
      <w:t>14</w:t>
    </w:r>
    <w:r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  <w:lang w:val="kk-KZ"/>
      </w:rPr>
      <w:t>ж</w:t>
    </w:r>
    <w:r>
      <w:rPr>
        <w:rFonts w:ascii="Times New Roman" w:hAnsi="Times New Roman"/>
        <w:i/>
        <w:sz w:val="18"/>
        <w:szCs w:val="18"/>
      </w:rPr>
      <w:t>.</w:t>
    </w:r>
    <w:r w:rsidR="00B0670E">
      <w:rPr>
        <w:rFonts w:ascii="Times New Roman" w:hAnsi="Times New Roman"/>
        <w:i/>
        <w:sz w:val="18"/>
        <w:szCs w:val="18"/>
        <w:lang w:val="en-US"/>
      </w:rPr>
      <w:t>3</w:t>
    </w:r>
    <w:r>
      <w:rPr>
        <w:rFonts w:ascii="Times New Roman" w:hAnsi="Times New Roman"/>
        <w:i/>
        <w:sz w:val="18"/>
        <w:szCs w:val="18"/>
        <w:lang w:val="kk-KZ"/>
      </w:rPr>
      <w:t xml:space="preserve"> тоқсандық ақпараттық шолу</w:t>
    </w:r>
    <w:r w:rsidR="006D3E7E" w:rsidRPr="006D3E7E">
      <w:rPr>
        <w:rFonts w:ascii="Times New Roman" w:hAnsi="Times New Roman" w:cs="Mangal"/>
        <w:i/>
        <w:sz w:val="18"/>
        <w:szCs w:val="18"/>
        <w:lang w:val="x-none" w:eastAsia="x-none" w:bidi="sa-IN"/>
      </w:rPr>
      <w:t>.</w:t>
    </w:r>
  </w:p>
  <w:p w:rsidR="006D3E7E" w:rsidRPr="003433B0" w:rsidRDefault="006D3E7E">
    <w:pPr>
      <w:pStyle w:val="a8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6"/>
    <w:rsid w:val="00011D07"/>
    <w:rsid w:val="00036D3B"/>
    <w:rsid w:val="000B3432"/>
    <w:rsid w:val="001401B3"/>
    <w:rsid w:val="00183CA6"/>
    <w:rsid w:val="00194AD2"/>
    <w:rsid w:val="001D3436"/>
    <w:rsid w:val="001F3761"/>
    <w:rsid w:val="00205A19"/>
    <w:rsid w:val="00233144"/>
    <w:rsid w:val="00233B3D"/>
    <w:rsid w:val="002760A4"/>
    <w:rsid w:val="00285AD0"/>
    <w:rsid w:val="0030771E"/>
    <w:rsid w:val="00330F7C"/>
    <w:rsid w:val="003402C9"/>
    <w:rsid w:val="003433B0"/>
    <w:rsid w:val="003620D1"/>
    <w:rsid w:val="0038389E"/>
    <w:rsid w:val="003C0B5B"/>
    <w:rsid w:val="003C4DFE"/>
    <w:rsid w:val="004639B4"/>
    <w:rsid w:val="004D7C5B"/>
    <w:rsid w:val="0052564F"/>
    <w:rsid w:val="005556B3"/>
    <w:rsid w:val="005852ED"/>
    <w:rsid w:val="00597A6A"/>
    <w:rsid w:val="005A4524"/>
    <w:rsid w:val="005B2AD1"/>
    <w:rsid w:val="005D6CC6"/>
    <w:rsid w:val="00607E7D"/>
    <w:rsid w:val="00655173"/>
    <w:rsid w:val="006B15A4"/>
    <w:rsid w:val="006D3E7E"/>
    <w:rsid w:val="006F7251"/>
    <w:rsid w:val="007032B5"/>
    <w:rsid w:val="007241F3"/>
    <w:rsid w:val="00764129"/>
    <w:rsid w:val="007E02E2"/>
    <w:rsid w:val="0089633C"/>
    <w:rsid w:val="009A158E"/>
    <w:rsid w:val="009F4A67"/>
    <w:rsid w:val="00A002C5"/>
    <w:rsid w:val="00A65E0A"/>
    <w:rsid w:val="00A76CCC"/>
    <w:rsid w:val="00AD312C"/>
    <w:rsid w:val="00B0670E"/>
    <w:rsid w:val="00B85455"/>
    <w:rsid w:val="00BD2625"/>
    <w:rsid w:val="00BF23DD"/>
    <w:rsid w:val="00C67CC4"/>
    <w:rsid w:val="00C823A9"/>
    <w:rsid w:val="00CD182E"/>
    <w:rsid w:val="00D07FC5"/>
    <w:rsid w:val="00D25E1E"/>
    <w:rsid w:val="00D46D94"/>
    <w:rsid w:val="00D80DAE"/>
    <w:rsid w:val="00DE3691"/>
    <w:rsid w:val="00DF356A"/>
    <w:rsid w:val="00E57C22"/>
    <w:rsid w:val="00E76A28"/>
    <w:rsid w:val="00EB600E"/>
    <w:rsid w:val="00EB655B"/>
    <w:rsid w:val="00F32279"/>
    <w:rsid w:val="00F46AC4"/>
    <w:rsid w:val="00F51A71"/>
    <w:rsid w:val="00F811DD"/>
    <w:rsid w:val="00F86856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3E7E"/>
  </w:style>
  <w:style w:type="paragraph" w:styleId="a4">
    <w:name w:val="No Spacing"/>
    <w:link w:val="a3"/>
    <w:uiPriority w:val="1"/>
    <w:qFormat/>
    <w:rsid w:val="006D3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3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E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E7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854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3E7E"/>
  </w:style>
  <w:style w:type="paragraph" w:styleId="a4">
    <w:name w:val="No Spacing"/>
    <w:link w:val="a3"/>
    <w:uiPriority w:val="1"/>
    <w:qFormat/>
    <w:rsid w:val="006D3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3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E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E7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854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&#1064;&#1099;&#1085;&#1072;&#1088;\&#1075;&#1088;&#1072;&#1092;&#1080;&#1082;_&#1080;&#1079;&#1084;%20&#1076;&#1077;&#1087;.%20&#1087;&#1086;%20&#1074;&#1072;&#1083;&#1102;&#1090;&#1072;&#1084;%202013-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80;&#1089;&#1100;&#1084;&#1072;\2014%20&#1075;&#1086;&#1076;\&#1040;&#1053;&#1040;&#1051;&#1048;&#1047;\3%20&#1082;&#1074;%202014\&#1089;&#1074;&#1077;&#1076;&#1077;&#1085;&#1080;&#1103;%20&#1085;&#1072;%201%20&#1086;&#1082;&#1090;&#1103;&#1073;&#1088;&#1103;_%202014%20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&#1064;&#1099;&#1085;&#1072;&#1088;\&#1089;&#1074;&#1077;&#1076;&#1077;&#1085;&#1080;&#1103;%20&#1085;&#1072;%201%20&#1086;&#1082;&#1090;&#1103;&#1073;&#1088;&#1103;_%202014%20&#107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2014-11-06%20&#1076;&#1080;&#1072;&#1075;&#1088;&#1072;&#1084;&#1084;&#1099;-&#1090;&#1072;&#1073;&#1083;&#1080;&#1094;&#1099;_01.07.2014.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04397312828975E-2"/>
          <c:y val="5.4354496827137104E-2"/>
          <c:w val="0.88569148323367308"/>
          <c:h val="0.826876108840825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'[график_изм деп. по валютам 2013-2014.xlsx]график'!$B$18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7.8661258134167782E-3"/>
                  <c:y val="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65701653653238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665701653653238E-3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665701653653238E-3"/>
                  <c:y val="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8997104960959714E-3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8997104960959714E-3"/>
                  <c:y val="3.3755274261602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9665701653653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2013-2014.xlsx]график'!$C$18:$Y$18</c:f>
              <c:numCache>
                <c:formatCode>0.00%</c:formatCode>
                <c:ptCount val="23"/>
                <c:pt idx="1">
                  <c:v>7.6562769620496698E-2</c:v>
                </c:pt>
                <c:pt idx="4">
                  <c:v>3.5850175827657593E-2</c:v>
                </c:pt>
                <c:pt idx="7">
                  <c:v>3.1534485223729654E-2</c:v>
                </c:pt>
                <c:pt idx="10">
                  <c:v>2.9254087903935279E-2</c:v>
                </c:pt>
                <c:pt idx="13">
                  <c:v>5.2235386761733775E-2</c:v>
                </c:pt>
                <c:pt idx="16">
                  <c:v>4.7163858052983315E-2</c:v>
                </c:pt>
                <c:pt idx="19">
                  <c:v>5.6416469683501315E-2</c:v>
                </c:pt>
                <c:pt idx="22" formatCode="0.0%">
                  <c:v>4.1572345856196692E-3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"/>
        <c:axId val="36135680"/>
        <c:axId val="36137600"/>
      </c:barChart>
      <c:lineChart>
        <c:grouping val="standard"/>
        <c:varyColors val="0"/>
        <c:ser>
          <c:idx val="0"/>
          <c:order val="0"/>
          <c:tx>
            <c:strRef>
              <c:f>'[график_изм деп. по валютам 2013-2014.xlsx]график'!$B$16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5875" cmpd="sng">
              <a:solidFill>
                <a:srgbClr val="F113B7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113B7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2013-2014.xlsx]график'!$C$16:$Y$16</c:f>
              <c:numCache>
                <c:formatCode>0.00%</c:formatCode>
                <c:ptCount val="23"/>
                <c:pt idx="1">
                  <c:v>7.7803407798402613E-2</c:v>
                </c:pt>
                <c:pt idx="2">
                  <c:v>1.0162619228633644E-2</c:v>
                </c:pt>
                <c:pt idx="3">
                  <c:v>1.4960797065644125E-2</c:v>
                </c:pt>
                <c:pt idx="4">
                  <c:v>1.7382561517712693E-2</c:v>
                </c:pt>
                <c:pt idx="5">
                  <c:v>-1.7957243977040115E-3</c:v>
                </c:pt>
                <c:pt idx="6">
                  <c:v>9.6945518185874158E-3</c:v>
                </c:pt>
                <c:pt idx="7">
                  <c:v>1.8274138236275182E-2</c:v>
                </c:pt>
                <c:pt idx="8">
                  <c:v>-5.3125648945674842E-2</c:v>
                </c:pt>
                <c:pt idx="9">
                  <c:v>-1.2792532011358363E-2</c:v>
                </c:pt>
                <c:pt idx="10">
                  <c:v>1.319615342710303E-2</c:v>
                </c:pt>
                <c:pt idx="11">
                  <c:v>-8.8696396530721817E-3</c:v>
                </c:pt>
                <c:pt idx="12">
                  <c:v>1.034549328934703E-2</c:v>
                </c:pt>
                <c:pt idx="13">
                  <c:v>4.9374240011861074E-2</c:v>
                </c:pt>
                <c:pt idx="14">
                  <c:v>-1.7919793848627238E-2</c:v>
                </c:pt>
                <c:pt idx="15">
                  <c:v>-9.5275139589470509E-2</c:v>
                </c:pt>
                <c:pt idx="16">
                  <c:v>-3.9916994663110689E-2</c:v>
                </c:pt>
                <c:pt idx="17">
                  <c:v>3.7331012619082823E-2</c:v>
                </c:pt>
                <c:pt idx="18">
                  <c:v>3.374781204217623E-2</c:v>
                </c:pt>
                <c:pt idx="19">
                  <c:v>3.4342102166950803E-3</c:v>
                </c:pt>
                <c:pt idx="20">
                  <c:v>2.1329370511751187E-2</c:v>
                </c:pt>
                <c:pt idx="21">
                  <c:v>-5.7711325292301906E-2</c:v>
                </c:pt>
                <c:pt idx="22">
                  <c:v>5.2295614465777372E-3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'[график_изм деп. по валютам 2013-2014.xlsx]график'!$B$17</c:f>
              <c:strCache>
                <c:ptCount val="1"/>
                <c:pt idx="0">
                  <c:v>в ин. валюте</c:v>
                </c:pt>
              </c:strCache>
            </c:strRef>
          </c:tx>
          <c:spPr>
            <a:ln w="15875">
              <a:solidFill>
                <a:srgbClr val="4D30FA"/>
              </a:solidFill>
              <a:prstDash val="solid"/>
            </a:ln>
            <a:effectLst/>
          </c:spPr>
          <c:marker>
            <c:symbol val="circle"/>
            <c:size val="3"/>
            <c:spPr>
              <a:solidFill>
                <a:srgbClr val="4D30FA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2013-2014.xlsx]график'!$C$17:$Y$17</c:f>
              <c:numCache>
                <c:formatCode>0.00%</c:formatCode>
                <c:ptCount val="23"/>
                <c:pt idx="1">
                  <c:v>1.106818304881433E-2</c:v>
                </c:pt>
                <c:pt idx="2">
                  <c:v>5.9595197754019223E-3</c:v>
                </c:pt>
                <c:pt idx="3">
                  <c:v>2.8161029079799983E-2</c:v>
                </c:pt>
                <c:pt idx="4">
                  <c:v>-9.3518532045783111E-3</c:v>
                </c:pt>
                <c:pt idx="5">
                  <c:v>1.2658636164851399E-2</c:v>
                </c:pt>
                <c:pt idx="6">
                  <c:v>1.712683356097779E-2</c:v>
                </c:pt>
                <c:pt idx="7">
                  <c:v>9.5082544392461246E-3</c:v>
                </c:pt>
                <c:pt idx="8">
                  <c:v>0.12388959376151391</c:v>
                </c:pt>
                <c:pt idx="9">
                  <c:v>2.1296505421924929E-2</c:v>
                </c:pt>
                <c:pt idx="10">
                  <c:v>8.1903169268060776E-3</c:v>
                </c:pt>
                <c:pt idx="11">
                  <c:v>2.8794492427839158E-2</c:v>
                </c:pt>
                <c:pt idx="12">
                  <c:v>9.4018782461534785E-3</c:v>
                </c:pt>
                <c:pt idx="13">
                  <c:v>1.4987597784965336E-2</c:v>
                </c:pt>
                <c:pt idx="14">
                  <c:v>3.4744793436247784E-2</c:v>
                </c:pt>
                <c:pt idx="15">
                  <c:v>0.18003785441921258</c:v>
                </c:pt>
                <c:pt idx="16">
                  <c:v>5.9650720775481961E-2</c:v>
                </c:pt>
                <c:pt idx="17">
                  <c:v>1.3176872551203631E-2</c:v>
                </c:pt>
                <c:pt idx="18">
                  <c:v>-8.8550910022396588E-3</c:v>
                </c:pt>
                <c:pt idx="19">
                  <c:v>3.5634313848318236E-2</c:v>
                </c:pt>
                <c:pt idx="20">
                  <c:v>1.705647200346409E-2</c:v>
                </c:pt>
                <c:pt idx="21">
                  <c:v>3.9436946481794938E-2</c:v>
                </c:pt>
                <c:pt idx="22">
                  <c:v>-2.0015357191418122E-2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35680"/>
        <c:axId val="36137600"/>
      </c:lineChart>
      <c:dateAx>
        <c:axId val="361356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1800000"/>
          <a:lstStyle/>
          <a:p>
            <a:pPr>
              <a:defRPr sz="9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137600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36137600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13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5925886009541"/>
          <c:y val="0.89170324595501516"/>
          <c:w val="0.74571163825514741"/>
          <c:h val="9.1419116914183196E-2"/>
        </c:manualLayout>
      </c:layout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12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23928258967631E-2"/>
          <c:y val="4.8611111111111112E-2"/>
          <c:w val="0.54668729277209704"/>
          <c:h val="0.83824076990376206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solidFill>
                <a:srgbClr val="ADFD8D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 prst="slope"/>
                <a:bevelB w="114300" prst="artDeco"/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1.085061242344707E-2"/>
                  <c:y val="-0.18133603091280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94313210848645E-2"/>
                  <c:y val="0.18179097404491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63998250218724E-2"/>
                  <c:y val="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944663167104114E-3"/>
                  <c:y val="1.887248468941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'свод 2,3 кв'!$B$64:$B$68</c:f>
              <c:strCache>
                <c:ptCount val="5"/>
                <c:pt idx="0">
                  <c:v>Срочные и условные вклады до Т5 млн.</c:v>
                </c:pt>
                <c:pt idx="1">
                  <c:v>Срочные и условные вклады от Т5 млн. до Т15 млн.</c:v>
                </c:pt>
                <c:pt idx="2">
                  <c:v>Срочные и условные вклады свыше Т15 млн.</c:v>
                </c:pt>
                <c:pt idx="3">
                  <c:v>До востребования</c:v>
                </c:pt>
                <c:pt idx="4">
                  <c:v>Текущие и карт-счета</c:v>
                </c:pt>
              </c:strCache>
            </c:strRef>
          </c:cat>
          <c:val>
            <c:numRef>
              <c:f>'свод 2,3 кв'!$C$64:$C$68</c:f>
              <c:numCache>
                <c:formatCode>0.0%</c:formatCode>
                <c:ptCount val="5"/>
                <c:pt idx="0">
                  <c:v>0.297446808541319</c:v>
                </c:pt>
                <c:pt idx="1">
                  <c:v>0.12152437622245996</c:v>
                </c:pt>
                <c:pt idx="2">
                  <c:v>0.4728330944941832</c:v>
                </c:pt>
                <c:pt idx="3">
                  <c:v>8.5942786069802719E-3</c:v>
                </c:pt>
                <c:pt idx="4">
                  <c:v>9.9601442135057588E-2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206957185361655"/>
          <c:y val="0.24140602216389617"/>
          <c:w val="0.37404142753275682"/>
          <c:h val="0.52181758530183731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'афф. лица'!$C$53</c:f>
              <c:strCache>
                <c:ptCount val="1"/>
                <c:pt idx="0">
                  <c:v>квартальное изменение вкладов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Pt>
            <c:idx val="3"/>
            <c:invertIfNegative val="0"/>
            <c:bubble3D val="0"/>
            <c:spPr/>
          </c:dPt>
          <c:dLbls>
            <c:dLbl>
              <c:idx val="0"/>
              <c:layout>
                <c:manualLayout>
                  <c:x val="8.8888888888888892E-2"/>
                  <c:y val="1.85188830562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8888888888887E-2"/>
                  <c:y val="-1.388852435112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'афф. лица'!$D$52:$G$52</c:f>
              <c:numCache>
                <c:formatCode>m/d/yyyy</c:formatCode>
                <c:ptCount val="4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</c:numCache>
            </c:numRef>
          </c:cat>
          <c:val>
            <c:numRef>
              <c:f>'афф. лица'!$D$53:$G$53</c:f>
              <c:numCache>
                <c:formatCode>0.0%</c:formatCode>
                <c:ptCount val="4"/>
                <c:pt idx="0">
                  <c:v>-2.9667162976362946E-2</c:v>
                </c:pt>
                <c:pt idx="1">
                  <c:v>0.23952809596594923</c:v>
                </c:pt>
                <c:pt idx="2">
                  <c:v>4.0512578713437331E-2</c:v>
                </c:pt>
                <c:pt idx="3">
                  <c:v>-1.3007163664759713E-2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50"/>
        <c:axId val="35957760"/>
        <c:axId val="35959552"/>
      </c:barChart>
      <c:dateAx>
        <c:axId val="35957760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959552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35959552"/>
        <c:scaling>
          <c:orientation val="minMax"/>
          <c:max val="0.25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9577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'классиф группы'!$A$2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5.07936406361924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группы'!$J$2:$P$2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'классиф группы'!$A$3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группы'!$J$3:$P$3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'классиф группы'!$A$4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группы'!$J$4:$P$4</c:f>
              <c:numCache>
                <c:formatCode>General</c:formatCode>
                <c:ptCount val="7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14</c:v>
                </c:pt>
                <c:pt idx="4">
                  <c:v>17</c:v>
                </c:pt>
                <c:pt idx="5">
                  <c:v>15</c:v>
                </c:pt>
                <c:pt idx="6">
                  <c:v>16</c:v>
                </c:pt>
              </c:numCache>
            </c:numRef>
          </c:val>
        </c:ser>
        <c:ser>
          <c:idx val="3"/>
          <c:order val="3"/>
          <c:tx>
            <c:strRef>
              <c:f>'классиф группы'!$A$5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A66BD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группы'!$J$5:$P$5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10</c:v>
                </c:pt>
                <c:pt idx="6">
                  <c:v>11</c:v>
                </c:pt>
              </c:numCache>
            </c:numRef>
          </c:val>
        </c:ser>
        <c:ser>
          <c:idx val="4"/>
          <c:order val="4"/>
          <c:tx>
            <c:strRef>
              <c:f>'классиф группы'!$A$6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6F76F9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группы'!$J$6:$P$6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5"/>
          <c:order val="5"/>
          <c:tx>
            <c:strRef>
              <c:f>'классиф группы'!$A$7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9"/>
              <c:layout>
                <c:manualLayout>
                  <c:x val="2.5394820568464859E-3"/>
                  <c:y val="4.140786749482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группы'!$J$7:$P$7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1527808"/>
        <c:axId val="151529344"/>
      </c:barChart>
      <c:catAx>
        <c:axId val="15152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29344"/>
        <c:crosses val="autoZero"/>
        <c:auto val="1"/>
        <c:lblAlgn val="ctr"/>
        <c:lblOffset val="100"/>
        <c:noMultiLvlLbl val="0"/>
      </c:catAx>
      <c:valAx>
        <c:axId val="151529344"/>
        <c:scaling>
          <c:orientation val="minMax"/>
          <c:max val="38"/>
          <c:min val="0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crossAx val="151527808"/>
        <c:crosses val="autoZero"/>
        <c:crossBetween val="between"/>
        <c:majorUnit val="4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0.53934</cdr:x>
      <cdr:y>0.89841</cdr:y>
    </cdr:from>
    <cdr:to>
      <cdr:x>0.67562</cdr:x>
      <cdr:y>0.96825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76503" y="2695568"/>
          <a:ext cx="676297" cy="20955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900" b="1" i="1">
              <a:latin typeface="Times New Roman" pitchFamily="18" charset="0"/>
              <a:cs typeface="Times New Roman" pitchFamily="18" charset="0"/>
            </a:rPr>
            <a:t>теңгемен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0.26208</cdr:x>
      <cdr:y>0.90149</cdr:y>
    </cdr:from>
    <cdr:to>
      <cdr:x>0.37546</cdr:x>
      <cdr:y>0.97015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43025" y="2876550"/>
          <a:ext cx="581025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900" i="1">
              <a:effectLst/>
              <a:latin typeface="Times New Roman" pitchFamily="18" charset="0"/>
              <a:ea typeface="+mn-ea"/>
              <a:cs typeface="Times New Roman" pitchFamily="18" charset="0"/>
            </a:rPr>
            <a:t>B</a:t>
          </a:r>
          <a:r>
            <a:rPr lang="kk-KZ" sz="900" i="1">
              <a:effectLst/>
              <a:latin typeface="Times New Roman" pitchFamily="18" charset="0"/>
              <a:ea typeface="+mn-ea"/>
              <a:cs typeface="Times New Roman" pitchFamily="18" charset="0"/>
            </a:rPr>
            <a:t> тобы</a:t>
          </a:r>
          <a:endParaRPr lang="ru-RU" sz="900">
            <a:effectLst/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Майра</cp:lastModifiedBy>
  <cp:revision>26</cp:revision>
  <cp:lastPrinted>2015-03-13T03:10:00Z</cp:lastPrinted>
  <dcterms:created xsi:type="dcterms:W3CDTF">2015-01-16T04:09:00Z</dcterms:created>
  <dcterms:modified xsi:type="dcterms:W3CDTF">2015-03-13T03:59:00Z</dcterms:modified>
</cp:coreProperties>
</file>