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235" w:rsidRDefault="00DF5235" w:rsidP="00DF5235"/>
    <w:p w:rsidR="00DF5235" w:rsidRDefault="00DF5235" w:rsidP="00DF5235"/>
    <w:p w:rsidR="000F76BF" w:rsidRDefault="000F76BF" w:rsidP="000F76BF">
      <w:pPr>
        <w:jc w:val="center"/>
      </w:pPr>
    </w:p>
    <w:p w:rsidR="000F76BF" w:rsidRPr="00C91ACD" w:rsidRDefault="000F76BF" w:rsidP="000F76BF">
      <w:pPr>
        <w:jc w:val="center"/>
        <w:outlineLvl w:val="0"/>
        <w:rPr>
          <w:rFonts w:ascii="Times New Roman" w:hAnsi="Times New Roman"/>
          <w:b/>
          <w:caps/>
          <w:spacing w:val="20"/>
          <w:lang w:val="en-US" w:eastAsia="it-IT"/>
        </w:rPr>
      </w:pPr>
      <w:r w:rsidRPr="00C91ACD">
        <w:rPr>
          <w:rFonts w:ascii="Times New Roman" w:hAnsi="Times New Roman"/>
          <w:b/>
          <w:caps/>
          <w:spacing w:val="20"/>
          <w:lang w:val="en-US" w:eastAsia="it-IT"/>
        </w:rPr>
        <w:t>JSC “kazakhstan deposit insurance fund”</w:t>
      </w:r>
    </w:p>
    <w:p w:rsidR="000F76BF" w:rsidRPr="00C91ACD" w:rsidRDefault="000F76BF" w:rsidP="000F76BF">
      <w:pPr>
        <w:jc w:val="center"/>
        <w:outlineLvl w:val="0"/>
        <w:rPr>
          <w:rFonts w:ascii="Times New Roman" w:hAnsi="Times New Roman"/>
          <w:b/>
          <w:spacing w:val="20"/>
          <w:lang w:val="en-US" w:eastAsia="it-IT"/>
        </w:rPr>
      </w:pPr>
    </w:p>
    <w:p w:rsidR="000F76BF" w:rsidRPr="00C91ACD" w:rsidRDefault="00313BCC" w:rsidP="000F76BF">
      <w:pPr>
        <w:jc w:val="center"/>
        <w:outlineLvl w:val="0"/>
        <w:rPr>
          <w:rFonts w:ascii="Times New Roman" w:hAnsi="Times New Roman"/>
          <w:b/>
          <w:i/>
          <w:spacing w:val="20"/>
          <w:lang w:val="en-US" w:eastAsia="it-IT"/>
        </w:rPr>
      </w:pPr>
      <w:r>
        <w:rPr>
          <w:rFonts w:ascii="Times New Roman" w:hAnsi="Times New Roman"/>
          <w:b/>
          <w:i/>
          <w:spacing w:val="20"/>
          <w:lang w:val="en-US" w:eastAsia="it-IT"/>
        </w:rPr>
        <w:t>M</w:t>
      </w:r>
      <w:r w:rsidRPr="00C91ACD">
        <w:rPr>
          <w:rFonts w:ascii="Times New Roman" w:hAnsi="Times New Roman"/>
          <w:b/>
          <w:i/>
          <w:spacing w:val="20"/>
          <w:lang w:val="en-US" w:eastAsia="it-IT"/>
        </w:rPr>
        <w:t>ethodology and calculation of differential premium rates department</w:t>
      </w:r>
    </w:p>
    <w:p w:rsidR="000F76BF" w:rsidRPr="00C91ACD" w:rsidRDefault="000F76BF" w:rsidP="000F76BF">
      <w:pPr>
        <w:jc w:val="center"/>
        <w:outlineLvl w:val="0"/>
        <w:rPr>
          <w:rFonts w:ascii="Times New Roman" w:hAnsi="Times New Roman"/>
          <w:b/>
          <w:spacing w:val="20"/>
          <w:sz w:val="28"/>
          <w:szCs w:val="28"/>
          <w:lang w:val="en-US" w:eastAsia="it-IT"/>
        </w:rPr>
      </w:pPr>
    </w:p>
    <w:p w:rsidR="000F76BF" w:rsidRPr="00C91ACD" w:rsidRDefault="000F76BF" w:rsidP="000F76BF">
      <w:pPr>
        <w:jc w:val="center"/>
        <w:outlineLvl w:val="0"/>
        <w:rPr>
          <w:rFonts w:ascii="Times New Roman" w:hAnsi="Times New Roman"/>
          <w:b/>
          <w:spacing w:val="20"/>
          <w:sz w:val="28"/>
          <w:szCs w:val="28"/>
          <w:lang w:val="en-US" w:eastAsia="it-IT"/>
        </w:rPr>
      </w:pPr>
    </w:p>
    <w:p w:rsidR="000F76BF" w:rsidRPr="00C91ACD" w:rsidRDefault="000F76BF" w:rsidP="000F76BF">
      <w:pPr>
        <w:jc w:val="center"/>
        <w:outlineLvl w:val="0"/>
        <w:rPr>
          <w:rFonts w:ascii="Times New Roman" w:hAnsi="Times New Roman"/>
          <w:b/>
          <w:spacing w:val="20"/>
          <w:sz w:val="28"/>
          <w:szCs w:val="28"/>
          <w:lang w:val="en-US" w:eastAsia="it-IT"/>
        </w:rPr>
      </w:pPr>
    </w:p>
    <w:p w:rsidR="000F76BF" w:rsidRPr="00C91ACD" w:rsidRDefault="000F76BF" w:rsidP="000F76BF">
      <w:pPr>
        <w:jc w:val="center"/>
        <w:outlineLvl w:val="0"/>
        <w:rPr>
          <w:rFonts w:ascii="Times New Roman" w:hAnsi="Times New Roman"/>
          <w:b/>
          <w:spacing w:val="20"/>
          <w:sz w:val="28"/>
          <w:szCs w:val="28"/>
          <w:lang w:val="en-US" w:eastAsia="it-IT"/>
        </w:rPr>
      </w:pPr>
    </w:p>
    <w:p w:rsidR="000F76BF" w:rsidRPr="00C91ACD" w:rsidRDefault="000F76BF" w:rsidP="000F76BF">
      <w:pPr>
        <w:jc w:val="center"/>
        <w:outlineLvl w:val="0"/>
        <w:rPr>
          <w:rFonts w:ascii="Times New Roman" w:hAnsi="Times New Roman"/>
          <w:b/>
          <w:spacing w:val="20"/>
          <w:sz w:val="28"/>
          <w:szCs w:val="28"/>
          <w:lang w:val="en-US" w:eastAsia="it-IT"/>
        </w:rPr>
      </w:pPr>
    </w:p>
    <w:p w:rsidR="000F76BF" w:rsidRPr="00C91ACD" w:rsidRDefault="000F76BF" w:rsidP="000F76BF">
      <w:pPr>
        <w:jc w:val="center"/>
        <w:outlineLvl w:val="0"/>
        <w:rPr>
          <w:rFonts w:ascii="Times New Roman" w:hAnsi="Times New Roman"/>
          <w:b/>
          <w:spacing w:val="20"/>
          <w:sz w:val="28"/>
          <w:szCs w:val="28"/>
          <w:lang w:val="en-US" w:eastAsia="it-IT"/>
        </w:rPr>
      </w:pPr>
    </w:p>
    <w:p w:rsidR="000F76BF" w:rsidRPr="00C91ACD" w:rsidRDefault="000F76BF" w:rsidP="000F76BF">
      <w:pPr>
        <w:jc w:val="center"/>
        <w:outlineLvl w:val="0"/>
        <w:rPr>
          <w:rFonts w:ascii="Times New Roman" w:hAnsi="Times New Roman"/>
          <w:b/>
          <w:spacing w:val="20"/>
          <w:sz w:val="28"/>
          <w:szCs w:val="28"/>
          <w:lang w:val="en-US" w:eastAsia="it-IT"/>
        </w:rPr>
      </w:pPr>
    </w:p>
    <w:p w:rsidR="000F76BF" w:rsidRPr="00C91ACD" w:rsidRDefault="000F76BF" w:rsidP="000F76BF">
      <w:pPr>
        <w:jc w:val="center"/>
        <w:outlineLvl w:val="0"/>
        <w:rPr>
          <w:rFonts w:ascii="Times New Roman" w:hAnsi="Times New Roman"/>
          <w:b/>
          <w:spacing w:val="20"/>
          <w:sz w:val="28"/>
          <w:szCs w:val="28"/>
          <w:lang w:val="en-US" w:eastAsia="it-IT"/>
        </w:rPr>
      </w:pPr>
    </w:p>
    <w:p w:rsidR="000F76BF" w:rsidRPr="00C91ACD" w:rsidRDefault="000F76BF" w:rsidP="000F76BF">
      <w:pPr>
        <w:spacing w:after="240"/>
        <w:jc w:val="center"/>
        <w:outlineLvl w:val="0"/>
        <w:rPr>
          <w:rFonts w:ascii="Times New Roman" w:hAnsi="Times New Roman"/>
          <w:b/>
          <w:spacing w:val="20"/>
          <w:sz w:val="30"/>
          <w:szCs w:val="30"/>
          <w:lang w:val="en-US" w:eastAsia="it-IT"/>
        </w:rPr>
      </w:pPr>
      <w:r w:rsidRPr="00C91ACD">
        <w:rPr>
          <w:rFonts w:ascii="Times New Roman" w:hAnsi="Times New Roman"/>
          <w:b/>
          <w:spacing w:val="20"/>
          <w:sz w:val="30"/>
          <w:szCs w:val="30"/>
          <w:lang w:val="en-US" w:eastAsia="it-IT"/>
        </w:rPr>
        <w:t>OVERVIEW OF THE RETAIL DEPOSITS MARKET</w:t>
      </w:r>
    </w:p>
    <w:p w:rsidR="000F76BF" w:rsidRPr="00C91ACD" w:rsidRDefault="000F76BF" w:rsidP="000F76BF">
      <w:pPr>
        <w:spacing w:after="60"/>
        <w:ind w:left="142"/>
        <w:jc w:val="center"/>
        <w:rPr>
          <w:rFonts w:ascii="Times New Roman" w:hAnsi="Times New Roman"/>
          <w:sz w:val="24"/>
          <w:szCs w:val="24"/>
          <w:highlight w:val="yellow"/>
          <w:lang w:val="en-US" w:eastAsia="ru-RU"/>
        </w:rPr>
      </w:pPr>
      <w:r w:rsidRPr="00C91ACD">
        <w:rPr>
          <w:rFonts w:ascii="Times New Roman" w:hAnsi="Times New Roman"/>
          <w:b/>
          <w:i/>
          <w:spacing w:val="20"/>
          <w:sz w:val="30"/>
          <w:szCs w:val="30"/>
          <w:lang w:val="en-US" w:eastAsia="it-IT"/>
        </w:rPr>
        <w:t xml:space="preserve">Over the </w:t>
      </w:r>
      <w:r>
        <w:rPr>
          <w:rFonts w:ascii="Times New Roman" w:hAnsi="Times New Roman"/>
          <w:b/>
          <w:i/>
          <w:spacing w:val="20"/>
          <w:sz w:val="30"/>
          <w:szCs w:val="30"/>
          <w:lang w:val="en-US" w:eastAsia="it-IT"/>
        </w:rPr>
        <w:t>1</w:t>
      </w:r>
      <w:r>
        <w:rPr>
          <w:rFonts w:ascii="Times New Roman" w:hAnsi="Times New Roman"/>
          <w:b/>
          <w:i/>
          <w:spacing w:val="20"/>
          <w:sz w:val="30"/>
          <w:szCs w:val="30"/>
          <w:vertAlign w:val="superscript"/>
          <w:lang w:val="en-US" w:eastAsia="it-IT"/>
        </w:rPr>
        <w:t>st</w:t>
      </w:r>
      <w:r w:rsidRPr="00C91ACD">
        <w:rPr>
          <w:rFonts w:ascii="Times New Roman" w:hAnsi="Times New Roman"/>
          <w:b/>
          <w:i/>
          <w:spacing w:val="20"/>
          <w:sz w:val="30"/>
          <w:szCs w:val="30"/>
          <w:lang w:val="en-US" w:eastAsia="it-IT"/>
        </w:rPr>
        <w:t xml:space="preserve"> quarter of 201</w:t>
      </w:r>
      <w:r>
        <w:rPr>
          <w:rFonts w:ascii="Times New Roman" w:hAnsi="Times New Roman"/>
          <w:b/>
          <w:i/>
          <w:spacing w:val="20"/>
          <w:sz w:val="30"/>
          <w:szCs w:val="30"/>
          <w:lang w:val="en-US" w:eastAsia="it-IT"/>
        </w:rPr>
        <w:t>5</w:t>
      </w:r>
    </w:p>
    <w:p w:rsidR="001B1FD7" w:rsidRPr="000F76BF" w:rsidRDefault="001B1FD7" w:rsidP="001B1FD7">
      <w:pPr>
        <w:rPr>
          <w:lang w:val="en-US"/>
        </w:rPr>
      </w:pPr>
    </w:p>
    <w:p w:rsidR="001B1FD7" w:rsidRPr="000F76BF" w:rsidRDefault="001B1FD7" w:rsidP="001B1FD7">
      <w:pPr>
        <w:rPr>
          <w:lang w:val="en-US"/>
        </w:rPr>
      </w:pPr>
    </w:p>
    <w:p w:rsidR="001B1FD7" w:rsidRPr="000F76BF" w:rsidRDefault="001B1FD7" w:rsidP="001B1FD7">
      <w:pPr>
        <w:rPr>
          <w:lang w:val="en-US"/>
        </w:rPr>
      </w:pPr>
    </w:p>
    <w:p w:rsidR="00DF5235" w:rsidRPr="000F76BF" w:rsidRDefault="001B1FD7" w:rsidP="00DF5235">
      <w:pPr>
        <w:spacing w:after="0"/>
        <w:jc w:val="both"/>
        <w:rPr>
          <w:rFonts w:ascii="Times New Roman" w:eastAsia="Times New Roman" w:hAnsi="Times New Roman"/>
          <w:b/>
          <w:sz w:val="24"/>
          <w:szCs w:val="24"/>
          <w:lang w:val="en-US" w:eastAsia="it-IT"/>
          <w14:shadow w14:blurRad="50800" w14:dist="38100" w14:dir="2700000" w14:sx="100000" w14:sy="100000" w14:kx="0" w14:ky="0" w14:algn="tl">
            <w14:srgbClr w14:val="000000">
              <w14:alpha w14:val="60000"/>
            </w14:srgbClr>
          </w14:shadow>
        </w:rPr>
      </w:pPr>
      <w:r w:rsidRPr="000F76BF">
        <w:rPr>
          <w:rFonts w:ascii="Times New Roman" w:eastAsia="Times New Roman" w:hAnsi="Times New Roman"/>
          <w:b/>
          <w:spacing w:val="20"/>
          <w:sz w:val="24"/>
          <w:szCs w:val="24"/>
          <w:lang w:val="en-US" w:eastAsia="it-IT"/>
          <w14:shadow w14:blurRad="50800" w14:dist="38100" w14:dir="2700000" w14:sx="100000" w14:sy="100000" w14:kx="0" w14:ky="0" w14:algn="tl">
            <w14:srgbClr w14:val="000000">
              <w14:alpha w14:val="60000"/>
            </w14:srgbClr>
          </w14:shadow>
        </w:rPr>
        <w:br w:type="page"/>
      </w:r>
    </w:p>
    <w:p w:rsidR="000F76BF" w:rsidRPr="000F76BF" w:rsidRDefault="008E7EB1" w:rsidP="000F76BF">
      <w:pPr>
        <w:spacing w:after="0"/>
        <w:ind w:firstLine="567"/>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lastRenderedPageBreak/>
        <w:t xml:space="preserve">Overview of the individuals’ </w:t>
      </w:r>
      <w:r w:rsidR="000F76BF" w:rsidRPr="000F76BF">
        <w:rPr>
          <w:rFonts w:ascii="Times New Roman" w:eastAsia="Times New Roman" w:hAnsi="Times New Roman"/>
          <w:b/>
          <w:sz w:val="24"/>
          <w:szCs w:val="24"/>
          <w:lang w:val="en-US" w:eastAsia="ru-RU"/>
        </w:rPr>
        <w:t>deposit market trends</w:t>
      </w:r>
    </w:p>
    <w:p w:rsidR="000F76BF" w:rsidRDefault="000F76BF" w:rsidP="00C34211">
      <w:pPr>
        <w:spacing w:after="0"/>
        <w:ind w:firstLine="567"/>
        <w:jc w:val="both"/>
        <w:rPr>
          <w:rFonts w:ascii="Times New Roman" w:eastAsia="Times New Roman" w:hAnsi="Times New Roman"/>
          <w:sz w:val="24"/>
          <w:szCs w:val="24"/>
          <w:lang w:val="en-US" w:eastAsia="it-IT"/>
        </w:rPr>
      </w:pPr>
    </w:p>
    <w:p w:rsidR="00FA1778" w:rsidRPr="00FA1778" w:rsidRDefault="004D1868" w:rsidP="00FA1778">
      <w:pPr>
        <w:spacing w:after="0"/>
        <w:ind w:firstLine="567"/>
        <w:jc w:val="both"/>
        <w:rPr>
          <w:rFonts w:ascii="Times New Roman" w:eastAsia="Times New Roman" w:hAnsi="Times New Roman"/>
          <w:sz w:val="24"/>
          <w:szCs w:val="24"/>
          <w:lang w:val="en-US" w:eastAsia="it-IT"/>
        </w:rPr>
      </w:pPr>
      <w:r>
        <w:rPr>
          <w:rFonts w:ascii="Times New Roman" w:eastAsia="Times New Roman" w:hAnsi="Times New Roman"/>
          <w:sz w:val="24"/>
          <w:szCs w:val="24"/>
          <w:lang w:val="en-US" w:eastAsia="it-IT"/>
        </w:rPr>
        <w:t>The r</w:t>
      </w:r>
      <w:r w:rsidR="00ED0978">
        <w:rPr>
          <w:rFonts w:ascii="Times New Roman" w:eastAsia="Times New Roman" w:hAnsi="Times New Roman"/>
          <w:sz w:val="24"/>
          <w:szCs w:val="24"/>
          <w:lang w:val="en-US" w:eastAsia="it-IT"/>
        </w:rPr>
        <w:t>etail deposit</w:t>
      </w:r>
      <w:r>
        <w:rPr>
          <w:rFonts w:ascii="Times New Roman" w:eastAsia="Times New Roman" w:hAnsi="Times New Roman"/>
          <w:sz w:val="24"/>
          <w:szCs w:val="24"/>
          <w:lang w:val="en-US" w:eastAsia="it-IT"/>
        </w:rPr>
        <w:t>s</w:t>
      </w:r>
      <w:r w:rsidR="00ED0978">
        <w:rPr>
          <w:rFonts w:ascii="Times New Roman" w:eastAsia="Times New Roman" w:hAnsi="Times New Roman"/>
          <w:sz w:val="24"/>
          <w:szCs w:val="24"/>
          <w:lang w:val="en-US" w:eastAsia="it-IT"/>
        </w:rPr>
        <w:t xml:space="preserve"> base </w:t>
      </w:r>
      <w:r w:rsidR="00FA1778">
        <w:rPr>
          <w:rFonts w:ascii="Times New Roman" w:eastAsia="Times New Roman" w:hAnsi="Times New Roman"/>
          <w:sz w:val="24"/>
          <w:szCs w:val="24"/>
          <w:lang w:val="en-US" w:eastAsia="it-IT"/>
        </w:rPr>
        <w:t>in DIS member-banks decreased by T140.1</w:t>
      </w:r>
      <w:r w:rsidR="00FA1778" w:rsidRPr="00586731">
        <w:rPr>
          <w:rFonts w:ascii="Times New Roman" w:eastAsia="Times New Roman" w:hAnsi="Times New Roman"/>
          <w:sz w:val="24"/>
          <w:szCs w:val="24"/>
          <w:lang w:val="en-US" w:eastAsia="it-IT"/>
        </w:rPr>
        <w:t xml:space="preserve"> billion</w:t>
      </w:r>
      <w:r w:rsidR="00FA1778">
        <w:rPr>
          <w:rFonts w:ascii="Times New Roman" w:eastAsia="Times New Roman" w:hAnsi="Times New Roman"/>
          <w:sz w:val="24"/>
          <w:szCs w:val="24"/>
          <w:lang w:val="en-US" w:eastAsia="it-IT"/>
        </w:rPr>
        <w:t xml:space="preserve"> or 3.2% over the 1</w:t>
      </w:r>
      <w:r w:rsidR="00FA1778" w:rsidRPr="00FA1778">
        <w:rPr>
          <w:rFonts w:ascii="Times New Roman" w:eastAsia="Times New Roman" w:hAnsi="Times New Roman"/>
          <w:sz w:val="24"/>
          <w:szCs w:val="24"/>
          <w:vertAlign w:val="superscript"/>
          <w:lang w:val="en-US" w:eastAsia="it-IT"/>
        </w:rPr>
        <w:t>st</w:t>
      </w:r>
      <w:r w:rsidR="00FA1778">
        <w:rPr>
          <w:rFonts w:ascii="Times New Roman" w:eastAsia="Times New Roman" w:hAnsi="Times New Roman"/>
          <w:sz w:val="24"/>
          <w:szCs w:val="24"/>
          <w:lang w:val="en-US" w:eastAsia="it-IT"/>
        </w:rPr>
        <w:t xml:space="preserve"> quarter</w:t>
      </w:r>
      <w:r w:rsidR="004E1B42">
        <w:rPr>
          <w:rFonts w:ascii="Times New Roman" w:eastAsia="Times New Roman" w:hAnsi="Times New Roman"/>
          <w:sz w:val="24"/>
          <w:szCs w:val="24"/>
          <w:lang w:val="en-US" w:eastAsia="it-IT"/>
        </w:rPr>
        <w:t xml:space="preserve"> of </w:t>
      </w:r>
      <w:r w:rsidR="00ED0978">
        <w:rPr>
          <w:rFonts w:ascii="Times New Roman" w:eastAsia="Times New Roman" w:hAnsi="Times New Roman"/>
          <w:sz w:val="24"/>
          <w:szCs w:val="24"/>
          <w:lang w:val="en-US" w:eastAsia="it-IT"/>
        </w:rPr>
        <w:t xml:space="preserve">the </w:t>
      </w:r>
      <w:r w:rsidR="004E1B42">
        <w:rPr>
          <w:rFonts w:ascii="Times New Roman" w:eastAsia="Times New Roman" w:hAnsi="Times New Roman"/>
          <w:sz w:val="24"/>
          <w:szCs w:val="24"/>
          <w:lang w:val="en-US" w:eastAsia="it-IT"/>
        </w:rPr>
        <w:t>current year</w:t>
      </w:r>
      <w:r w:rsidR="00FA1778">
        <w:rPr>
          <w:rFonts w:ascii="Times New Roman" w:eastAsia="Times New Roman" w:hAnsi="Times New Roman"/>
          <w:sz w:val="24"/>
          <w:szCs w:val="24"/>
          <w:lang w:val="en-US" w:eastAsia="it-IT"/>
        </w:rPr>
        <w:t xml:space="preserve">, and </w:t>
      </w:r>
      <w:r w:rsidR="004E1B42">
        <w:rPr>
          <w:rFonts w:ascii="Times New Roman" w:eastAsia="Times New Roman" w:hAnsi="Times New Roman"/>
          <w:sz w:val="24"/>
          <w:szCs w:val="24"/>
          <w:lang w:val="en-US" w:eastAsia="it-IT"/>
        </w:rPr>
        <w:t xml:space="preserve">as </w:t>
      </w:r>
      <w:r w:rsidR="004E1B42" w:rsidRPr="00586731">
        <w:rPr>
          <w:rFonts w:ascii="Times New Roman" w:eastAsia="Times New Roman" w:hAnsi="Times New Roman"/>
          <w:sz w:val="24"/>
          <w:szCs w:val="24"/>
          <w:lang w:val="en-US" w:eastAsia="it-IT"/>
        </w:rPr>
        <w:t xml:space="preserve">of </w:t>
      </w:r>
      <w:r w:rsidR="004E1B42">
        <w:rPr>
          <w:rFonts w:ascii="Times New Roman" w:eastAsia="Times New Roman" w:hAnsi="Times New Roman"/>
          <w:sz w:val="24"/>
          <w:szCs w:val="24"/>
          <w:lang w:val="en-US" w:eastAsia="it-IT"/>
        </w:rPr>
        <w:t xml:space="preserve">April 1, </w:t>
      </w:r>
      <w:r w:rsidR="004E1B42" w:rsidRPr="00586731">
        <w:rPr>
          <w:rFonts w:ascii="Times New Roman" w:eastAsia="Times New Roman" w:hAnsi="Times New Roman"/>
          <w:sz w:val="24"/>
          <w:szCs w:val="24"/>
          <w:lang w:val="en-US" w:eastAsia="it-IT"/>
        </w:rPr>
        <w:t>201</w:t>
      </w:r>
      <w:r w:rsidR="004E1B42">
        <w:rPr>
          <w:rFonts w:ascii="Times New Roman" w:eastAsia="Times New Roman" w:hAnsi="Times New Roman"/>
          <w:sz w:val="24"/>
          <w:szCs w:val="24"/>
          <w:lang w:val="en-US" w:eastAsia="it-IT"/>
        </w:rPr>
        <w:t>5</w:t>
      </w:r>
      <w:r w:rsidR="004E1B42" w:rsidRPr="004E1B42">
        <w:rPr>
          <w:rFonts w:ascii="Times New Roman" w:eastAsia="Times New Roman" w:hAnsi="Times New Roman"/>
          <w:sz w:val="24"/>
          <w:szCs w:val="24"/>
          <w:lang w:val="en-US" w:eastAsia="it-IT"/>
        </w:rPr>
        <w:t xml:space="preserve"> </w:t>
      </w:r>
      <w:r w:rsidR="00FA1778">
        <w:rPr>
          <w:rFonts w:ascii="Times New Roman" w:eastAsia="Times New Roman" w:hAnsi="Times New Roman"/>
          <w:sz w:val="24"/>
          <w:szCs w:val="24"/>
          <w:lang w:val="en-US" w:eastAsia="it-IT"/>
        </w:rPr>
        <w:t>amounted to T4.3</w:t>
      </w:r>
      <w:r w:rsidR="00FA1778" w:rsidRPr="00586731">
        <w:rPr>
          <w:rFonts w:ascii="Times New Roman" w:eastAsia="Times New Roman" w:hAnsi="Times New Roman"/>
          <w:sz w:val="24"/>
          <w:szCs w:val="24"/>
          <w:lang w:val="en-US" w:eastAsia="it-IT"/>
        </w:rPr>
        <w:t xml:space="preserve"> trillion</w:t>
      </w:r>
      <w:r w:rsidR="00FA1778">
        <w:rPr>
          <w:rFonts w:ascii="Times New Roman" w:eastAsia="Times New Roman" w:hAnsi="Times New Roman"/>
          <w:sz w:val="24"/>
          <w:szCs w:val="24"/>
          <w:lang w:val="en-US" w:eastAsia="it-IT"/>
        </w:rPr>
        <w:t>.</w:t>
      </w:r>
    </w:p>
    <w:p w:rsidR="00FA1778" w:rsidRPr="003F1059" w:rsidRDefault="00ED0978" w:rsidP="001B1FD7">
      <w:pPr>
        <w:spacing w:after="0"/>
        <w:ind w:firstLine="567"/>
        <w:jc w:val="both"/>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T</w:t>
      </w:r>
      <w:r w:rsidR="00AF2A67" w:rsidRPr="00AF2A67">
        <w:rPr>
          <w:rFonts w:ascii="Times New Roman" w:eastAsia="Times New Roman" w:hAnsi="Times New Roman"/>
          <w:color w:val="000000"/>
          <w:sz w:val="24"/>
          <w:szCs w:val="24"/>
          <w:lang w:val="en-US" w:eastAsia="ru-RU"/>
        </w:rPr>
        <w:t xml:space="preserve">op five leaders in attracting </w:t>
      </w:r>
      <w:r w:rsidR="00AF2A67">
        <w:rPr>
          <w:rFonts w:ascii="Times New Roman" w:eastAsia="Times New Roman" w:hAnsi="Times New Roman"/>
          <w:color w:val="000000"/>
          <w:sz w:val="24"/>
          <w:szCs w:val="24"/>
          <w:lang w:val="en-US" w:eastAsia="ru-RU"/>
        </w:rPr>
        <w:t>retail deposits included</w:t>
      </w:r>
      <w:r w:rsidR="00AF2A67" w:rsidRPr="00AF2A67">
        <w:rPr>
          <w:rFonts w:ascii="Times New Roman" w:eastAsia="Times New Roman" w:hAnsi="Times New Roman"/>
          <w:color w:val="000000"/>
          <w:sz w:val="24"/>
          <w:szCs w:val="24"/>
          <w:lang w:val="en-US" w:eastAsia="ru-RU"/>
        </w:rPr>
        <w:t xml:space="preserve">: </w:t>
      </w:r>
      <w:r w:rsidR="00AF2A67" w:rsidRPr="00AF2A67">
        <w:rPr>
          <w:rFonts w:ascii="Times New Roman" w:eastAsia="Times New Roman" w:hAnsi="Times New Roman"/>
          <w:b/>
          <w:i/>
          <w:color w:val="000000"/>
          <w:sz w:val="24"/>
          <w:szCs w:val="24"/>
          <w:lang w:val="en-US" w:eastAsia="ru-RU"/>
        </w:rPr>
        <w:t>Forte Bank</w:t>
      </w:r>
      <w:r w:rsidR="00AF2A67" w:rsidRPr="00AF2A67">
        <w:rPr>
          <w:rFonts w:ascii="Times New Roman" w:eastAsia="Times New Roman" w:hAnsi="Times New Roman"/>
          <w:color w:val="000000"/>
          <w:sz w:val="24"/>
          <w:szCs w:val="24"/>
          <w:lang w:val="en-US" w:eastAsia="ru-RU"/>
        </w:rPr>
        <w:t xml:space="preserve"> </w:t>
      </w:r>
      <w:r w:rsidR="00AF2A67">
        <w:rPr>
          <w:rFonts w:ascii="Times New Roman" w:eastAsia="Times New Roman" w:hAnsi="Times New Roman"/>
          <w:color w:val="000000"/>
          <w:sz w:val="24"/>
          <w:szCs w:val="24"/>
          <w:lang w:val="en-US" w:eastAsia="ru-RU"/>
        </w:rPr>
        <w:t>with</w:t>
      </w:r>
      <w:r w:rsidR="00AF2A67" w:rsidRPr="00AF2A67">
        <w:rPr>
          <w:rFonts w:ascii="Times New Roman" w:eastAsia="Times New Roman" w:hAnsi="Times New Roman"/>
          <w:color w:val="000000"/>
          <w:sz w:val="24"/>
          <w:szCs w:val="24"/>
          <w:lang w:val="en-US" w:eastAsia="ru-RU"/>
        </w:rPr>
        <w:t xml:space="preserve"> the growth o</w:t>
      </w:r>
      <w:r w:rsidR="003F1059">
        <w:rPr>
          <w:rFonts w:ascii="Times New Roman" w:eastAsia="Times New Roman" w:hAnsi="Times New Roman"/>
          <w:color w:val="000000"/>
          <w:sz w:val="24"/>
          <w:szCs w:val="24"/>
          <w:lang w:val="en-US" w:eastAsia="ru-RU"/>
        </w:rPr>
        <w:t xml:space="preserve">f deposits </w:t>
      </w:r>
      <w:r w:rsidR="003E5BCE">
        <w:rPr>
          <w:rFonts w:ascii="Times New Roman" w:eastAsia="Times New Roman" w:hAnsi="Times New Roman"/>
          <w:color w:val="000000"/>
          <w:sz w:val="24"/>
          <w:szCs w:val="24"/>
          <w:lang w:val="en-US" w:eastAsia="ru-RU"/>
        </w:rPr>
        <w:t xml:space="preserve">by </w:t>
      </w:r>
      <w:r w:rsidR="003F1059">
        <w:rPr>
          <w:rFonts w:ascii="Times New Roman" w:eastAsia="Times New Roman" w:hAnsi="Times New Roman"/>
          <w:color w:val="000000"/>
          <w:sz w:val="24"/>
          <w:szCs w:val="24"/>
          <w:lang w:val="en-US" w:eastAsia="ru-RU"/>
        </w:rPr>
        <w:t>T70.</w:t>
      </w:r>
      <w:r w:rsidR="00AF2A67" w:rsidRPr="00AF2A67">
        <w:rPr>
          <w:rFonts w:ascii="Times New Roman" w:eastAsia="Times New Roman" w:hAnsi="Times New Roman"/>
          <w:color w:val="000000"/>
          <w:sz w:val="24"/>
          <w:szCs w:val="24"/>
          <w:lang w:val="en-US" w:eastAsia="ru-RU"/>
        </w:rPr>
        <w:t xml:space="preserve">4 </w:t>
      </w:r>
      <w:r w:rsidR="00FF0D19" w:rsidRPr="00AF2A67">
        <w:rPr>
          <w:rFonts w:ascii="Times New Roman" w:eastAsia="Times New Roman" w:hAnsi="Times New Roman"/>
          <w:color w:val="000000"/>
          <w:sz w:val="24"/>
          <w:szCs w:val="24"/>
          <w:lang w:val="en-US" w:eastAsia="ru-RU"/>
        </w:rPr>
        <w:t>billion</w:t>
      </w:r>
      <w:r w:rsidR="004F641B">
        <w:rPr>
          <w:rFonts w:ascii="Times New Roman" w:eastAsia="Times New Roman" w:hAnsi="Times New Roman"/>
          <w:color w:val="000000"/>
          <w:sz w:val="24"/>
          <w:szCs w:val="24"/>
          <w:lang w:val="en-US" w:eastAsia="ru-RU"/>
        </w:rPr>
        <w:t xml:space="preserve">, </w:t>
      </w:r>
      <w:r w:rsidR="00FF0D19" w:rsidRPr="004F641B">
        <w:rPr>
          <w:rFonts w:ascii="Times New Roman" w:eastAsia="Times New Roman" w:hAnsi="Times New Roman"/>
          <w:sz w:val="24"/>
          <w:szCs w:val="24"/>
          <w:lang w:val="en-US" w:eastAsia="ru-RU"/>
        </w:rPr>
        <w:t xml:space="preserve">which </w:t>
      </w:r>
      <w:r w:rsidR="00880F59" w:rsidRPr="004F641B">
        <w:rPr>
          <w:rFonts w:ascii="Times New Roman" w:eastAsia="Times New Roman" w:hAnsi="Times New Roman"/>
          <w:sz w:val="24"/>
          <w:szCs w:val="24"/>
          <w:lang w:val="en-US" w:eastAsia="ru-RU"/>
        </w:rPr>
        <w:t>took over the liabilities</w:t>
      </w:r>
      <w:r w:rsidR="003D0D6A" w:rsidRPr="004F641B">
        <w:rPr>
          <w:rFonts w:ascii="Times New Roman" w:eastAsia="Times New Roman" w:hAnsi="Times New Roman"/>
          <w:sz w:val="24"/>
          <w:szCs w:val="24"/>
          <w:lang w:val="en-US" w:eastAsia="ru-RU"/>
        </w:rPr>
        <w:t xml:space="preserve"> </w:t>
      </w:r>
      <w:r w:rsidR="00FF0D19" w:rsidRPr="004F641B">
        <w:rPr>
          <w:rFonts w:ascii="Times New Roman" w:eastAsia="Times New Roman" w:hAnsi="Times New Roman"/>
          <w:sz w:val="24"/>
          <w:szCs w:val="24"/>
          <w:lang w:val="en-US" w:eastAsia="ru-RU"/>
        </w:rPr>
        <w:t>of</w:t>
      </w:r>
      <w:r w:rsidR="00AF2A67" w:rsidRPr="004F641B">
        <w:rPr>
          <w:rFonts w:ascii="Times New Roman" w:eastAsia="Times New Roman" w:hAnsi="Times New Roman"/>
          <w:sz w:val="24"/>
          <w:szCs w:val="24"/>
          <w:lang w:val="en-US" w:eastAsia="ru-RU"/>
        </w:rPr>
        <w:t xml:space="preserve"> </w:t>
      </w:r>
      <w:r w:rsidR="004F641B" w:rsidRPr="004F641B">
        <w:rPr>
          <w:rFonts w:ascii="Times New Roman" w:eastAsia="Times New Roman" w:hAnsi="Times New Roman"/>
          <w:sz w:val="24"/>
          <w:szCs w:val="24"/>
          <w:lang w:val="en-US" w:eastAsia="ru-RU"/>
        </w:rPr>
        <w:t>merged</w:t>
      </w:r>
      <w:r w:rsidR="00FF0D19" w:rsidRPr="004F641B">
        <w:rPr>
          <w:rFonts w:ascii="Times New Roman" w:eastAsia="Times New Roman" w:hAnsi="Times New Roman"/>
          <w:sz w:val="24"/>
          <w:szCs w:val="24"/>
          <w:lang w:val="en-US" w:eastAsia="ru-RU"/>
        </w:rPr>
        <w:t xml:space="preserve"> </w:t>
      </w:r>
      <w:r w:rsidR="00AF2A67" w:rsidRPr="00FF0D19">
        <w:rPr>
          <w:rFonts w:ascii="Times New Roman" w:eastAsia="Times New Roman" w:hAnsi="Times New Roman"/>
          <w:b/>
          <w:i/>
          <w:color w:val="000000"/>
          <w:sz w:val="24"/>
          <w:szCs w:val="24"/>
          <w:lang w:val="en-US" w:eastAsia="ru-RU"/>
        </w:rPr>
        <w:t>ABC Bank</w:t>
      </w:r>
      <w:r w:rsidR="00AF2A67" w:rsidRPr="00AF2A67">
        <w:rPr>
          <w:rFonts w:ascii="Times New Roman" w:eastAsia="Times New Roman" w:hAnsi="Times New Roman"/>
          <w:color w:val="000000"/>
          <w:sz w:val="24"/>
          <w:szCs w:val="24"/>
          <w:lang w:val="en-US" w:eastAsia="ru-RU"/>
        </w:rPr>
        <w:t xml:space="preserve"> and </w:t>
      </w:r>
      <w:proofErr w:type="spellStart"/>
      <w:r w:rsidR="00AF2A67" w:rsidRPr="00FF0D19">
        <w:rPr>
          <w:rFonts w:ascii="Times New Roman" w:eastAsia="Times New Roman" w:hAnsi="Times New Roman"/>
          <w:b/>
          <w:i/>
          <w:color w:val="000000"/>
          <w:sz w:val="24"/>
          <w:szCs w:val="24"/>
          <w:lang w:val="en-US" w:eastAsia="ru-RU"/>
        </w:rPr>
        <w:t>Temirbank</w:t>
      </w:r>
      <w:proofErr w:type="spellEnd"/>
      <w:r w:rsidR="00FF0D19">
        <w:rPr>
          <w:rFonts w:ascii="Times New Roman" w:eastAsia="Times New Roman" w:hAnsi="Times New Roman"/>
          <w:color w:val="000000"/>
          <w:sz w:val="24"/>
          <w:szCs w:val="24"/>
          <w:lang w:val="en-US" w:eastAsia="ru-RU"/>
        </w:rPr>
        <w:t xml:space="preserve">, </w:t>
      </w:r>
      <w:r w:rsidR="008C51CB" w:rsidRPr="008C51CB">
        <w:rPr>
          <w:rFonts w:ascii="Times New Roman" w:eastAsia="Times New Roman" w:hAnsi="Times New Roman"/>
          <w:b/>
          <w:i/>
          <w:color w:val="000000"/>
          <w:sz w:val="24"/>
          <w:szCs w:val="24"/>
          <w:lang w:val="en-US" w:eastAsia="ru-RU"/>
        </w:rPr>
        <w:t xml:space="preserve">House Construction Savings Bank </w:t>
      </w:r>
      <w:r w:rsidR="00FF0D19">
        <w:rPr>
          <w:rFonts w:ascii="Times New Roman" w:eastAsia="Times New Roman" w:hAnsi="Times New Roman"/>
          <w:color w:val="000000"/>
          <w:sz w:val="24"/>
          <w:szCs w:val="24"/>
          <w:lang w:val="en-US" w:eastAsia="ru-RU"/>
        </w:rPr>
        <w:t xml:space="preserve">+ T20.3 </w:t>
      </w:r>
      <w:r w:rsidR="00FF0D19" w:rsidRPr="00AF2A67">
        <w:rPr>
          <w:rFonts w:ascii="Times New Roman" w:eastAsia="Times New Roman" w:hAnsi="Times New Roman"/>
          <w:color w:val="000000"/>
          <w:sz w:val="24"/>
          <w:szCs w:val="24"/>
          <w:lang w:val="en-US" w:eastAsia="ru-RU"/>
        </w:rPr>
        <w:t>billion</w:t>
      </w:r>
      <w:r w:rsidR="00FF0D19">
        <w:rPr>
          <w:rFonts w:ascii="Times New Roman" w:eastAsia="Times New Roman" w:hAnsi="Times New Roman"/>
          <w:color w:val="000000"/>
          <w:sz w:val="24"/>
          <w:szCs w:val="24"/>
          <w:lang w:val="en-US" w:eastAsia="ru-RU"/>
        </w:rPr>
        <w:t xml:space="preserve">, </w:t>
      </w:r>
      <w:r w:rsidR="00FF0D19" w:rsidRPr="00FF0D19">
        <w:rPr>
          <w:rFonts w:ascii="Times New Roman" w:eastAsia="Times New Roman" w:hAnsi="Times New Roman"/>
          <w:b/>
          <w:i/>
          <w:color w:val="000000"/>
          <w:sz w:val="24"/>
          <w:szCs w:val="24"/>
          <w:lang w:val="en-US" w:eastAsia="ru-RU"/>
        </w:rPr>
        <w:t>ATFBank</w:t>
      </w:r>
      <w:r w:rsidR="00FF0D19">
        <w:rPr>
          <w:rFonts w:ascii="Times New Roman" w:eastAsia="Times New Roman" w:hAnsi="Times New Roman"/>
          <w:color w:val="000000"/>
          <w:sz w:val="24"/>
          <w:szCs w:val="24"/>
          <w:lang w:val="en-US" w:eastAsia="ru-RU"/>
        </w:rPr>
        <w:t xml:space="preserve"> + T5.5 billion, </w:t>
      </w:r>
      <w:r w:rsidR="00FF0D19" w:rsidRPr="00FF0D19">
        <w:rPr>
          <w:rFonts w:ascii="Times New Roman" w:eastAsia="Times New Roman" w:hAnsi="Times New Roman"/>
          <w:b/>
          <w:i/>
          <w:color w:val="000000"/>
          <w:sz w:val="24"/>
          <w:szCs w:val="24"/>
          <w:lang w:val="en-US" w:eastAsia="ru-RU"/>
        </w:rPr>
        <w:t>Bank of Astana</w:t>
      </w:r>
      <w:r w:rsidR="003E5BCE">
        <w:rPr>
          <w:rFonts w:ascii="Times New Roman" w:eastAsia="Times New Roman" w:hAnsi="Times New Roman"/>
          <w:color w:val="000000"/>
          <w:sz w:val="24"/>
          <w:szCs w:val="24"/>
          <w:lang w:val="en-US" w:eastAsia="ru-RU"/>
        </w:rPr>
        <w:t xml:space="preserve"> + T3.6 billion</w:t>
      </w:r>
      <w:r w:rsidR="00FF0D19">
        <w:rPr>
          <w:rFonts w:ascii="Times New Roman" w:eastAsia="Times New Roman" w:hAnsi="Times New Roman"/>
          <w:color w:val="000000"/>
          <w:sz w:val="24"/>
          <w:szCs w:val="24"/>
          <w:lang w:val="en-US" w:eastAsia="ru-RU"/>
        </w:rPr>
        <w:t xml:space="preserve">, </w:t>
      </w:r>
      <w:proofErr w:type="spellStart"/>
      <w:r w:rsidR="00FF0D19" w:rsidRPr="00FF0D19">
        <w:rPr>
          <w:rFonts w:ascii="Times New Roman" w:eastAsia="Times New Roman" w:hAnsi="Times New Roman"/>
          <w:b/>
          <w:i/>
          <w:color w:val="000000"/>
          <w:sz w:val="24"/>
          <w:szCs w:val="24"/>
          <w:lang w:val="en-US" w:eastAsia="ru-RU"/>
        </w:rPr>
        <w:t>BankRBK</w:t>
      </w:r>
      <w:proofErr w:type="spellEnd"/>
      <w:r w:rsidR="00FF0D19">
        <w:rPr>
          <w:rFonts w:ascii="Times New Roman" w:eastAsia="Times New Roman" w:hAnsi="Times New Roman"/>
          <w:color w:val="000000"/>
          <w:sz w:val="24"/>
          <w:szCs w:val="24"/>
          <w:lang w:val="en-US" w:eastAsia="ru-RU"/>
        </w:rPr>
        <w:t xml:space="preserve"> + T0.</w:t>
      </w:r>
      <w:r w:rsidR="00AF2A67" w:rsidRPr="00AF2A67">
        <w:rPr>
          <w:rFonts w:ascii="Times New Roman" w:eastAsia="Times New Roman" w:hAnsi="Times New Roman"/>
          <w:color w:val="000000"/>
          <w:sz w:val="24"/>
          <w:szCs w:val="24"/>
          <w:lang w:val="en-US" w:eastAsia="ru-RU"/>
        </w:rPr>
        <w:t xml:space="preserve">9 billion. </w:t>
      </w:r>
      <w:r w:rsidR="003E5BCE">
        <w:rPr>
          <w:rFonts w:ascii="Times New Roman" w:eastAsia="Times New Roman" w:hAnsi="Times New Roman"/>
          <w:color w:val="000000"/>
          <w:sz w:val="24"/>
          <w:szCs w:val="24"/>
          <w:lang w:val="en-US" w:eastAsia="ru-RU"/>
        </w:rPr>
        <w:t>D</w:t>
      </w:r>
      <w:r w:rsidR="00AF2A67" w:rsidRPr="00AF2A67">
        <w:rPr>
          <w:rFonts w:ascii="Times New Roman" w:eastAsia="Times New Roman" w:hAnsi="Times New Roman"/>
          <w:color w:val="000000"/>
          <w:sz w:val="24"/>
          <w:szCs w:val="24"/>
          <w:lang w:val="en-US" w:eastAsia="ru-RU"/>
        </w:rPr>
        <w:t xml:space="preserve">uring the reporting period </w:t>
      </w:r>
      <w:r w:rsidR="003E5BCE">
        <w:rPr>
          <w:rFonts w:ascii="Times New Roman" w:eastAsia="Times New Roman" w:hAnsi="Times New Roman"/>
          <w:color w:val="000000"/>
          <w:sz w:val="24"/>
          <w:szCs w:val="24"/>
          <w:lang w:val="en-US" w:eastAsia="ru-RU"/>
        </w:rPr>
        <w:t>in m</w:t>
      </w:r>
      <w:r w:rsidR="003E5BCE" w:rsidRPr="00AF2A67">
        <w:rPr>
          <w:rFonts w:ascii="Times New Roman" w:eastAsia="Times New Roman" w:hAnsi="Times New Roman"/>
          <w:color w:val="000000"/>
          <w:sz w:val="24"/>
          <w:szCs w:val="24"/>
          <w:lang w:val="en-US" w:eastAsia="ru-RU"/>
        </w:rPr>
        <w:t xml:space="preserve">ore than half of the banks </w:t>
      </w:r>
      <w:r w:rsidR="00AF2A67" w:rsidRPr="00AF2A67">
        <w:rPr>
          <w:rFonts w:ascii="Times New Roman" w:eastAsia="Times New Roman" w:hAnsi="Times New Roman"/>
          <w:color w:val="000000"/>
          <w:sz w:val="24"/>
          <w:szCs w:val="24"/>
          <w:lang w:val="en-US" w:eastAsia="ru-RU"/>
        </w:rPr>
        <w:t xml:space="preserve">was an outflow, but the most </w:t>
      </w:r>
      <w:r w:rsidR="00FF0D19" w:rsidRPr="00AF2A67">
        <w:rPr>
          <w:rFonts w:ascii="Times New Roman" w:eastAsia="Times New Roman" w:hAnsi="Times New Roman"/>
          <w:color w:val="000000"/>
          <w:sz w:val="24"/>
          <w:szCs w:val="24"/>
          <w:lang w:val="en-US" w:eastAsia="ru-RU"/>
        </w:rPr>
        <w:t>noticeable</w:t>
      </w:r>
      <w:r w:rsidR="00AF2A67" w:rsidRPr="00AF2A67">
        <w:rPr>
          <w:rFonts w:ascii="Times New Roman" w:eastAsia="Times New Roman" w:hAnsi="Times New Roman"/>
          <w:color w:val="000000"/>
          <w:sz w:val="24"/>
          <w:szCs w:val="24"/>
          <w:lang w:val="en-US" w:eastAsia="ru-RU"/>
        </w:rPr>
        <w:t xml:space="preserve"> withdrawal of deposits occurred in </w:t>
      </w:r>
      <w:proofErr w:type="spellStart"/>
      <w:r w:rsidR="00AF2A67" w:rsidRPr="00FF0D19">
        <w:rPr>
          <w:rFonts w:ascii="Times New Roman" w:eastAsia="Times New Roman" w:hAnsi="Times New Roman"/>
          <w:b/>
          <w:i/>
          <w:color w:val="000000"/>
          <w:sz w:val="24"/>
          <w:szCs w:val="24"/>
          <w:lang w:val="en-US" w:eastAsia="ru-RU"/>
        </w:rPr>
        <w:t>Halyk</w:t>
      </w:r>
      <w:proofErr w:type="spellEnd"/>
      <w:r w:rsidR="00AF2A67" w:rsidRPr="00FF0D19">
        <w:rPr>
          <w:rFonts w:ascii="Times New Roman" w:eastAsia="Times New Roman" w:hAnsi="Times New Roman"/>
          <w:b/>
          <w:i/>
          <w:color w:val="000000"/>
          <w:sz w:val="24"/>
          <w:szCs w:val="24"/>
          <w:lang w:val="en-US" w:eastAsia="ru-RU"/>
        </w:rPr>
        <w:t xml:space="preserve"> Bank</w:t>
      </w:r>
      <w:r w:rsidR="00FF0D19">
        <w:rPr>
          <w:rFonts w:ascii="Times New Roman" w:eastAsia="Times New Roman" w:hAnsi="Times New Roman"/>
          <w:color w:val="000000"/>
          <w:sz w:val="24"/>
          <w:szCs w:val="24"/>
          <w:lang w:val="en-US" w:eastAsia="ru-RU"/>
        </w:rPr>
        <w:t xml:space="preserve"> </w:t>
      </w:r>
      <w:r w:rsidR="003E5BCE">
        <w:rPr>
          <w:rFonts w:ascii="Times New Roman" w:eastAsia="Times New Roman" w:hAnsi="Times New Roman"/>
          <w:color w:val="000000"/>
          <w:sz w:val="24"/>
          <w:szCs w:val="24"/>
          <w:lang w:val="en-US" w:eastAsia="ru-RU"/>
        </w:rPr>
        <w:t>by</w:t>
      </w:r>
      <w:r w:rsidR="00FF0D19">
        <w:rPr>
          <w:rFonts w:ascii="Times New Roman" w:eastAsia="Times New Roman" w:hAnsi="Times New Roman"/>
          <w:color w:val="000000"/>
          <w:sz w:val="24"/>
          <w:szCs w:val="24"/>
          <w:lang w:val="en-US" w:eastAsia="ru-RU"/>
        </w:rPr>
        <w:t xml:space="preserve"> T58.</w:t>
      </w:r>
      <w:r w:rsidR="00AF2A67" w:rsidRPr="00AF2A67">
        <w:rPr>
          <w:rFonts w:ascii="Times New Roman" w:eastAsia="Times New Roman" w:hAnsi="Times New Roman"/>
          <w:color w:val="000000"/>
          <w:sz w:val="24"/>
          <w:szCs w:val="24"/>
          <w:lang w:val="en-US" w:eastAsia="ru-RU"/>
        </w:rPr>
        <w:t>6</w:t>
      </w:r>
      <w:r w:rsidR="00FF0D19" w:rsidRPr="00FF0D19">
        <w:rPr>
          <w:rFonts w:ascii="Times New Roman" w:eastAsia="Times New Roman" w:hAnsi="Times New Roman"/>
          <w:color w:val="000000"/>
          <w:sz w:val="24"/>
          <w:szCs w:val="24"/>
          <w:lang w:val="en-US" w:eastAsia="ru-RU"/>
        </w:rPr>
        <w:t xml:space="preserve"> </w:t>
      </w:r>
      <w:r w:rsidR="00FF0D19" w:rsidRPr="00AF2A67">
        <w:rPr>
          <w:rFonts w:ascii="Times New Roman" w:eastAsia="Times New Roman" w:hAnsi="Times New Roman"/>
          <w:color w:val="000000"/>
          <w:sz w:val="24"/>
          <w:szCs w:val="24"/>
          <w:lang w:val="en-US" w:eastAsia="ru-RU"/>
        </w:rPr>
        <w:t>billion</w:t>
      </w:r>
      <w:r w:rsidR="00AF2A67" w:rsidRPr="00AF2A67">
        <w:rPr>
          <w:rFonts w:ascii="Times New Roman" w:eastAsia="Times New Roman" w:hAnsi="Times New Roman"/>
          <w:color w:val="000000"/>
          <w:sz w:val="24"/>
          <w:szCs w:val="24"/>
          <w:lang w:val="en-US" w:eastAsia="ru-RU"/>
        </w:rPr>
        <w:t xml:space="preserve">, in </w:t>
      </w:r>
      <w:r w:rsidR="00AF2A67" w:rsidRPr="00FF0D19">
        <w:rPr>
          <w:rFonts w:ascii="Times New Roman" w:eastAsia="Times New Roman" w:hAnsi="Times New Roman"/>
          <w:b/>
          <w:i/>
          <w:color w:val="000000"/>
          <w:sz w:val="24"/>
          <w:szCs w:val="24"/>
          <w:lang w:val="en-US" w:eastAsia="ru-RU"/>
        </w:rPr>
        <w:t>BTA</w:t>
      </w:r>
      <w:r w:rsidR="00FF0D19">
        <w:rPr>
          <w:rFonts w:ascii="Times New Roman" w:eastAsia="Times New Roman" w:hAnsi="Times New Roman"/>
          <w:color w:val="000000"/>
          <w:sz w:val="24"/>
          <w:szCs w:val="24"/>
          <w:lang w:val="en-US" w:eastAsia="ru-RU"/>
        </w:rPr>
        <w:t xml:space="preserve"> </w:t>
      </w:r>
      <w:r w:rsidR="00B826AB">
        <w:rPr>
          <w:rFonts w:ascii="Times New Roman" w:eastAsia="Times New Roman" w:hAnsi="Times New Roman"/>
          <w:color w:val="000000"/>
          <w:sz w:val="24"/>
          <w:szCs w:val="24"/>
          <w:lang w:val="en-US" w:eastAsia="ru-RU"/>
        </w:rPr>
        <w:t xml:space="preserve">by </w:t>
      </w:r>
      <w:r w:rsidR="00FF0D19">
        <w:rPr>
          <w:rFonts w:ascii="Times New Roman" w:eastAsia="Times New Roman" w:hAnsi="Times New Roman"/>
          <w:color w:val="000000"/>
          <w:sz w:val="24"/>
          <w:szCs w:val="24"/>
          <w:lang w:val="en-US" w:eastAsia="ru-RU"/>
        </w:rPr>
        <w:t>T18.1 billion</w:t>
      </w:r>
      <w:r w:rsidR="007F2AAE">
        <w:rPr>
          <w:rFonts w:ascii="Times New Roman" w:eastAsia="Times New Roman" w:hAnsi="Times New Roman"/>
          <w:color w:val="000000"/>
          <w:sz w:val="24"/>
          <w:szCs w:val="24"/>
          <w:lang w:val="en-US" w:eastAsia="ru-RU"/>
        </w:rPr>
        <w:t xml:space="preserve">, </w:t>
      </w:r>
      <w:r w:rsidR="00AF2A67" w:rsidRPr="00FF0D19">
        <w:rPr>
          <w:rFonts w:ascii="Times New Roman" w:eastAsia="Times New Roman" w:hAnsi="Times New Roman"/>
          <w:b/>
          <w:i/>
          <w:color w:val="000000"/>
          <w:sz w:val="24"/>
          <w:szCs w:val="24"/>
          <w:lang w:val="en-US" w:eastAsia="ru-RU"/>
        </w:rPr>
        <w:t>KKB</w:t>
      </w:r>
      <w:r w:rsidR="00AF2A67" w:rsidRPr="00AF2A67">
        <w:rPr>
          <w:rFonts w:ascii="Times New Roman" w:eastAsia="Times New Roman" w:hAnsi="Times New Roman"/>
          <w:color w:val="000000"/>
          <w:sz w:val="24"/>
          <w:szCs w:val="24"/>
          <w:lang w:val="en-US" w:eastAsia="ru-RU"/>
        </w:rPr>
        <w:t xml:space="preserve"> </w:t>
      </w:r>
      <w:r w:rsidR="00B826AB">
        <w:rPr>
          <w:rFonts w:ascii="Times New Roman" w:eastAsia="Times New Roman" w:hAnsi="Times New Roman"/>
          <w:color w:val="000000"/>
          <w:sz w:val="24"/>
          <w:szCs w:val="24"/>
          <w:lang w:val="en-US" w:eastAsia="ru-RU"/>
        </w:rPr>
        <w:t xml:space="preserve">by </w:t>
      </w:r>
      <w:r w:rsidR="00AF2A67" w:rsidRPr="00AF2A67">
        <w:rPr>
          <w:rFonts w:ascii="Times New Roman" w:eastAsia="Times New Roman" w:hAnsi="Times New Roman"/>
          <w:color w:val="000000"/>
          <w:sz w:val="24"/>
          <w:szCs w:val="24"/>
          <w:lang w:val="en-US" w:eastAsia="ru-RU"/>
        </w:rPr>
        <w:t>T33</w:t>
      </w:r>
      <w:r w:rsidR="00FF0D19">
        <w:rPr>
          <w:rFonts w:ascii="Times New Roman" w:eastAsia="Times New Roman" w:hAnsi="Times New Roman"/>
          <w:color w:val="000000"/>
          <w:sz w:val="24"/>
          <w:szCs w:val="24"/>
          <w:lang w:val="en-US" w:eastAsia="ru-RU"/>
        </w:rPr>
        <w:t>.1 billion</w:t>
      </w:r>
      <w:r w:rsidR="00B826AB">
        <w:rPr>
          <w:rFonts w:ascii="Times New Roman" w:eastAsia="Times New Roman" w:hAnsi="Times New Roman"/>
          <w:color w:val="000000"/>
          <w:sz w:val="24"/>
          <w:szCs w:val="24"/>
          <w:lang w:val="en-US" w:eastAsia="ru-RU"/>
        </w:rPr>
        <w:t xml:space="preserve">, </w:t>
      </w:r>
      <w:r w:rsidR="00AF2A67" w:rsidRPr="00AF2A67">
        <w:rPr>
          <w:rFonts w:ascii="Times New Roman" w:eastAsia="Times New Roman" w:hAnsi="Times New Roman"/>
          <w:color w:val="000000"/>
          <w:sz w:val="24"/>
          <w:szCs w:val="24"/>
          <w:lang w:val="en-US" w:eastAsia="ru-RU"/>
        </w:rPr>
        <w:t xml:space="preserve">in </w:t>
      </w:r>
      <w:proofErr w:type="spellStart"/>
      <w:r w:rsidR="00FF0D19" w:rsidRPr="00FF0D19">
        <w:rPr>
          <w:rFonts w:ascii="Times New Roman" w:eastAsia="Times New Roman" w:hAnsi="Times New Roman"/>
          <w:b/>
          <w:i/>
          <w:color w:val="000000"/>
          <w:sz w:val="24"/>
          <w:szCs w:val="24"/>
          <w:lang w:val="en-US" w:eastAsia="ru-RU"/>
        </w:rPr>
        <w:t>Ts</w:t>
      </w:r>
      <w:r w:rsidR="00AF2A67" w:rsidRPr="00FF0D19">
        <w:rPr>
          <w:rFonts w:ascii="Times New Roman" w:eastAsia="Times New Roman" w:hAnsi="Times New Roman"/>
          <w:b/>
          <w:i/>
          <w:color w:val="000000"/>
          <w:sz w:val="24"/>
          <w:szCs w:val="24"/>
          <w:lang w:val="en-US" w:eastAsia="ru-RU"/>
        </w:rPr>
        <w:t>esna</w:t>
      </w:r>
      <w:proofErr w:type="spellEnd"/>
      <w:r w:rsidR="00AF2A67" w:rsidRPr="00FF0D19">
        <w:rPr>
          <w:rFonts w:ascii="Times New Roman" w:eastAsia="Times New Roman" w:hAnsi="Times New Roman"/>
          <w:b/>
          <w:i/>
          <w:color w:val="000000"/>
          <w:sz w:val="24"/>
          <w:szCs w:val="24"/>
          <w:lang w:val="en-US" w:eastAsia="ru-RU"/>
        </w:rPr>
        <w:t xml:space="preserve"> Bank</w:t>
      </w:r>
      <w:r w:rsidR="00B826AB">
        <w:rPr>
          <w:rFonts w:ascii="Times New Roman" w:eastAsia="Times New Roman" w:hAnsi="Times New Roman"/>
          <w:color w:val="000000"/>
          <w:sz w:val="24"/>
          <w:szCs w:val="24"/>
          <w:lang w:val="en-US" w:eastAsia="ru-RU"/>
        </w:rPr>
        <w:t xml:space="preserve"> by</w:t>
      </w:r>
      <w:r w:rsidR="00FF0D19">
        <w:rPr>
          <w:rFonts w:ascii="Times New Roman" w:eastAsia="Times New Roman" w:hAnsi="Times New Roman"/>
          <w:color w:val="000000"/>
          <w:sz w:val="24"/>
          <w:szCs w:val="24"/>
          <w:lang w:val="en-US" w:eastAsia="ru-RU"/>
        </w:rPr>
        <w:t xml:space="preserve"> T14.8 billion</w:t>
      </w:r>
      <w:r w:rsidR="00B826AB">
        <w:rPr>
          <w:rFonts w:ascii="Times New Roman" w:eastAsia="Times New Roman" w:hAnsi="Times New Roman"/>
          <w:color w:val="000000"/>
          <w:sz w:val="24"/>
          <w:szCs w:val="24"/>
          <w:lang w:val="en-US" w:eastAsia="ru-RU"/>
        </w:rPr>
        <w:t>,</w:t>
      </w:r>
      <w:r w:rsidR="00AF2A67" w:rsidRPr="00AF2A67">
        <w:rPr>
          <w:rFonts w:ascii="Times New Roman" w:eastAsia="Times New Roman" w:hAnsi="Times New Roman"/>
          <w:color w:val="000000"/>
          <w:sz w:val="24"/>
          <w:szCs w:val="24"/>
          <w:lang w:val="en-US" w:eastAsia="ru-RU"/>
        </w:rPr>
        <w:t xml:space="preserve"> in </w:t>
      </w:r>
      <w:r w:rsidR="00AF2A67" w:rsidRPr="00FF0D19">
        <w:rPr>
          <w:rFonts w:ascii="Times New Roman" w:eastAsia="Times New Roman" w:hAnsi="Times New Roman"/>
          <w:b/>
          <w:i/>
          <w:color w:val="000000"/>
          <w:sz w:val="24"/>
          <w:szCs w:val="24"/>
          <w:lang w:val="en-US" w:eastAsia="ru-RU"/>
        </w:rPr>
        <w:t>BCC</w:t>
      </w:r>
      <w:r w:rsidR="00FF0D19">
        <w:rPr>
          <w:rFonts w:ascii="Times New Roman" w:eastAsia="Times New Roman" w:hAnsi="Times New Roman"/>
          <w:color w:val="000000"/>
          <w:sz w:val="24"/>
          <w:szCs w:val="24"/>
          <w:lang w:val="en-US" w:eastAsia="ru-RU"/>
        </w:rPr>
        <w:t xml:space="preserve"> </w:t>
      </w:r>
      <w:r w:rsidR="00B826AB">
        <w:rPr>
          <w:rFonts w:ascii="Times New Roman" w:eastAsia="Times New Roman" w:hAnsi="Times New Roman"/>
          <w:color w:val="000000"/>
          <w:sz w:val="24"/>
          <w:szCs w:val="24"/>
          <w:lang w:val="en-US" w:eastAsia="ru-RU"/>
        </w:rPr>
        <w:t xml:space="preserve">by </w:t>
      </w:r>
      <w:r w:rsidR="00FF0D19">
        <w:rPr>
          <w:rFonts w:ascii="Times New Roman" w:eastAsia="Times New Roman" w:hAnsi="Times New Roman"/>
          <w:color w:val="000000"/>
          <w:sz w:val="24"/>
          <w:szCs w:val="24"/>
          <w:lang w:val="en-US" w:eastAsia="ru-RU"/>
        </w:rPr>
        <w:t>T9.</w:t>
      </w:r>
      <w:r w:rsidR="00AF2A67" w:rsidRPr="00AF2A67">
        <w:rPr>
          <w:rFonts w:ascii="Times New Roman" w:eastAsia="Times New Roman" w:hAnsi="Times New Roman"/>
          <w:color w:val="000000"/>
          <w:sz w:val="24"/>
          <w:szCs w:val="24"/>
          <w:lang w:val="en-US" w:eastAsia="ru-RU"/>
        </w:rPr>
        <w:t>8 billion. The total inflow of household deposits amounted t</w:t>
      </w:r>
      <w:r w:rsidR="00FF0D19">
        <w:rPr>
          <w:rFonts w:ascii="Times New Roman" w:eastAsia="Times New Roman" w:hAnsi="Times New Roman"/>
          <w:color w:val="000000"/>
          <w:sz w:val="24"/>
          <w:szCs w:val="24"/>
          <w:lang w:val="en-US" w:eastAsia="ru-RU"/>
        </w:rPr>
        <w:t xml:space="preserve">o T103.1 </w:t>
      </w:r>
      <w:r w:rsidR="00FF0D19" w:rsidRPr="00AF2A67">
        <w:rPr>
          <w:rFonts w:ascii="Times New Roman" w:eastAsia="Times New Roman" w:hAnsi="Times New Roman"/>
          <w:color w:val="000000"/>
          <w:sz w:val="24"/>
          <w:szCs w:val="24"/>
          <w:lang w:val="en-US" w:eastAsia="ru-RU"/>
        </w:rPr>
        <w:t>billion</w:t>
      </w:r>
      <w:r w:rsidR="00AF2A67" w:rsidRPr="00AF2A67">
        <w:rPr>
          <w:rFonts w:ascii="Times New Roman" w:eastAsia="Times New Roman" w:hAnsi="Times New Roman"/>
          <w:color w:val="000000"/>
          <w:sz w:val="24"/>
          <w:szCs w:val="24"/>
          <w:lang w:val="en-US" w:eastAsia="ru-RU"/>
        </w:rPr>
        <w:t xml:space="preserve">, while </w:t>
      </w:r>
      <w:r w:rsidR="00FF0D19">
        <w:rPr>
          <w:rFonts w:ascii="Times New Roman" w:eastAsia="Times New Roman" w:hAnsi="Times New Roman"/>
          <w:color w:val="000000"/>
          <w:sz w:val="24"/>
          <w:szCs w:val="24"/>
          <w:lang w:val="en-US" w:eastAsia="ru-RU"/>
        </w:rPr>
        <w:t xml:space="preserve">the outflow </w:t>
      </w:r>
      <w:r w:rsidR="00B826AB">
        <w:rPr>
          <w:rFonts w:ascii="Times New Roman" w:eastAsia="Times New Roman" w:hAnsi="Times New Roman"/>
          <w:color w:val="000000"/>
          <w:sz w:val="24"/>
          <w:szCs w:val="24"/>
          <w:lang w:val="en-US" w:eastAsia="ru-RU"/>
        </w:rPr>
        <w:t xml:space="preserve">was </w:t>
      </w:r>
      <w:r w:rsidR="00FF0D19">
        <w:rPr>
          <w:rFonts w:ascii="Times New Roman" w:eastAsia="Times New Roman" w:hAnsi="Times New Roman"/>
          <w:color w:val="000000"/>
          <w:sz w:val="24"/>
          <w:szCs w:val="24"/>
          <w:lang w:val="en-US" w:eastAsia="ru-RU"/>
        </w:rPr>
        <w:t>(- T243.</w:t>
      </w:r>
      <w:r w:rsidR="003F1059">
        <w:rPr>
          <w:rFonts w:ascii="Times New Roman" w:eastAsia="Times New Roman" w:hAnsi="Times New Roman"/>
          <w:color w:val="000000"/>
          <w:sz w:val="24"/>
          <w:szCs w:val="24"/>
          <w:lang w:val="en-US" w:eastAsia="ru-RU"/>
        </w:rPr>
        <w:t>2 billion.)</w:t>
      </w:r>
      <w:r w:rsidR="00AF2A67" w:rsidRPr="003F1059">
        <w:rPr>
          <w:rFonts w:ascii="Times New Roman" w:eastAsia="Times New Roman" w:hAnsi="Times New Roman"/>
          <w:color w:val="000000"/>
          <w:sz w:val="24"/>
          <w:szCs w:val="24"/>
          <w:lang w:val="en-US" w:eastAsia="ru-RU"/>
        </w:rPr>
        <w:t>.</w:t>
      </w:r>
    </w:p>
    <w:p w:rsidR="00AF2A67" w:rsidRPr="00FF0D19" w:rsidRDefault="00FF0D19" w:rsidP="00FF0D19">
      <w:pPr>
        <w:spacing w:after="0"/>
        <w:ind w:firstLine="567"/>
        <w:jc w:val="both"/>
        <w:rPr>
          <w:rFonts w:ascii="Times New Roman" w:eastAsia="Times New Roman" w:hAnsi="Times New Roman"/>
          <w:sz w:val="24"/>
          <w:szCs w:val="24"/>
          <w:lang w:val="en-US" w:eastAsia="it-IT"/>
        </w:rPr>
      </w:pPr>
      <w:r>
        <w:rPr>
          <w:rFonts w:ascii="Times New Roman" w:eastAsia="Times New Roman" w:hAnsi="Times New Roman"/>
          <w:sz w:val="24"/>
          <w:szCs w:val="24"/>
          <w:lang w:val="en-US" w:eastAsia="it-IT"/>
        </w:rPr>
        <w:t>For t</w:t>
      </w:r>
      <w:r w:rsidRPr="00586731">
        <w:rPr>
          <w:rFonts w:ascii="Times New Roman" w:eastAsia="Times New Roman" w:hAnsi="Times New Roman"/>
          <w:sz w:val="24"/>
          <w:szCs w:val="24"/>
          <w:lang w:val="en-US" w:eastAsia="it-IT"/>
        </w:rPr>
        <w:t>he deposit portfolio</w:t>
      </w:r>
      <w:r>
        <w:rPr>
          <w:rFonts w:ascii="Times New Roman" w:eastAsia="Times New Roman" w:hAnsi="Times New Roman"/>
          <w:sz w:val="24"/>
          <w:szCs w:val="24"/>
          <w:lang w:val="en-US" w:eastAsia="it-IT"/>
        </w:rPr>
        <w:t xml:space="preserve"> </w:t>
      </w:r>
      <w:r w:rsidRPr="00FF0D19">
        <w:rPr>
          <w:rFonts w:ascii="Times New Roman" w:eastAsia="Times New Roman" w:hAnsi="Times New Roman"/>
          <w:sz w:val="24"/>
          <w:szCs w:val="24"/>
          <w:lang w:val="en-US" w:eastAsia="it-IT"/>
        </w:rPr>
        <w:t xml:space="preserve">in terms of currencies, it should be noted that deposits </w:t>
      </w:r>
      <w:r w:rsidR="00B72EF6">
        <w:rPr>
          <w:rFonts w:ascii="Times New Roman" w:eastAsia="Times New Roman" w:hAnsi="Times New Roman"/>
          <w:sz w:val="24"/>
          <w:szCs w:val="24"/>
          <w:lang w:val="en-US" w:eastAsia="it-IT"/>
        </w:rPr>
        <w:t xml:space="preserve">in </w:t>
      </w:r>
      <w:r w:rsidR="00B72EF6" w:rsidRPr="00FF0D19">
        <w:rPr>
          <w:rFonts w:ascii="Times New Roman" w:eastAsia="Times New Roman" w:hAnsi="Times New Roman"/>
          <w:sz w:val="24"/>
          <w:szCs w:val="24"/>
          <w:lang w:val="en-US" w:eastAsia="it-IT"/>
        </w:rPr>
        <w:t xml:space="preserve">foreign currency </w:t>
      </w:r>
      <w:r w:rsidRPr="00FF0D19">
        <w:rPr>
          <w:rFonts w:ascii="Times New Roman" w:eastAsia="Times New Roman" w:hAnsi="Times New Roman"/>
          <w:sz w:val="24"/>
          <w:szCs w:val="24"/>
          <w:lang w:val="en-US" w:eastAsia="it-IT"/>
        </w:rPr>
        <w:t>are more preferable</w:t>
      </w:r>
      <w:r>
        <w:rPr>
          <w:rFonts w:ascii="Times New Roman" w:eastAsia="Times New Roman" w:hAnsi="Times New Roman"/>
          <w:sz w:val="24"/>
          <w:szCs w:val="24"/>
          <w:lang w:val="en-US" w:eastAsia="it-IT"/>
        </w:rPr>
        <w:t xml:space="preserve"> </w:t>
      </w:r>
      <w:r w:rsidRPr="00FF0D19">
        <w:rPr>
          <w:rFonts w:ascii="Times New Roman" w:eastAsia="Times New Roman" w:hAnsi="Times New Roman"/>
          <w:sz w:val="24"/>
          <w:szCs w:val="24"/>
          <w:lang w:val="en-US" w:eastAsia="it-IT"/>
        </w:rPr>
        <w:t>financial instruments for individual</w:t>
      </w:r>
      <w:r>
        <w:rPr>
          <w:rFonts w:ascii="Times New Roman" w:eastAsia="Times New Roman" w:hAnsi="Times New Roman"/>
          <w:sz w:val="24"/>
          <w:szCs w:val="24"/>
          <w:lang w:val="en-US" w:eastAsia="it-IT"/>
        </w:rPr>
        <w:t>s</w:t>
      </w:r>
      <w:r w:rsidRPr="00FF0D19">
        <w:rPr>
          <w:rFonts w:ascii="Times New Roman" w:eastAsia="Times New Roman" w:hAnsi="Times New Roman"/>
          <w:sz w:val="24"/>
          <w:szCs w:val="24"/>
          <w:lang w:val="en-US" w:eastAsia="it-IT"/>
        </w:rPr>
        <w:t>, which account for 67.5% of the deposits portfolio</w:t>
      </w:r>
      <w:r>
        <w:rPr>
          <w:rFonts w:ascii="Times New Roman" w:eastAsia="Times New Roman" w:hAnsi="Times New Roman"/>
          <w:sz w:val="24"/>
          <w:szCs w:val="24"/>
          <w:lang w:val="en-US" w:eastAsia="it-IT"/>
        </w:rPr>
        <w:t>, and the rest</w:t>
      </w:r>
      <w:r w:rsidRPr="00FF0D19">
        <w:rPr>
          <w:rFonts w:ascii="Times New Roman" w:eastAsia="Times New Roman" w:hAnsi="Times New Roman"/>
          <w:sz w:val="24"/>
          <w:szCs w:val="24"/>
          <w:lang w:val="en-US" w:eastAsia="it-IT"/>
        </w:rPr>
        <w:t xml:space="preserve"> on deposits in the national currency. At the same time during the period the decrease of</w:t>
      </w:r>
      <w:r w:rsidR="00B72EF6">
        <w:rPr>
          <w:rFonts w:ascii="Times New Roman" w:eastAsia="Times New Roman" w:hAnsi="Times New Roman"/>
          <w:sz w:val="24"/>
          <w:szCs w:val="24"/>
          <w:lang w:val="en-US" w:eastAsia="it-IT"/>
        </w:rPr>
        <w:t xml:space="preserve"> deposits in t</w:t>
      </w:r>
      <w:r>
        <w:rPr>
          <w:rFonts w:ascii="Times New Roman" w:eastAsia="Times New Roman" w:hAnsi="Times New Roman"/>
          <w:sz w:val="24"/>
          <w:szCs w:val="24"/>
          <w:lang w:val="en-US" w:eastAsia="it-IT"/>
        </w:rPr>
        <w:t xml:space="preserve">enge was </w:t>
      </w:r>
      <w:r w:rsidR="00B72EF6">
        <w:rPr>
          <w:rFonts w:ascii="Times New Roman" w:eastAsia="Times New Roman" w:hAnsi="Times New Roman"/>
          <w:sz w:val="24"/>
          <w:szCs w:val="24"/>
          <w:lang w:val="en-US" w:eastAsia="it-IT"/>
        </w:rPr>
        <w:t xml:space="preserve">at </w:t>
      </w:r>
      <w:r>
        <w:rPr>
          <w:rFonts w:ascii="Times New Roman" w:eastAsia="Times New Roman" w:hAnsi="Times New Roman"/>
          <w:sz w:val="24"/>
          <w:szCs w:val="24"/>
          <w:lang w:val="en-US" w:eastAsia="it-IT"/>
        </w:rPr>
        <w:t>T47.5 billion o</w:t>
      </w:r>
      <w:r w:rsidRPr="00FF0D19">
        <w:rPr>
          <w:rFonts w:ascii="Times New Roman" w:eastAsia="Times New Roman" w:hAnsi="Times New Roman"/>
          <w:sz w:val="24"/>
          <w:szCs w:val="24"/>
          <w:lang w:val="en-US" w:eastAsia="it-IT"/>
        </w:rPr>
        <w:t xml:space="preserve">r </w:t>
      </w:r>
      <w:r>
        <w:rPr>
          <w:rFonts w:ascii="Times New Roman" w:eastAsia="Times New Roman" w:hAnsi="Times New Roman"/>
          <w:sz w:val="24"/>
          <w:szCs w:val="24"/>
          <w:lang w:val="en-US" w:eastAsia="it-IT"/>
        </w:rPr>
        <w:t>3.3%, in foreign currency - T92.6 billion o</w:t>
      </w:r>
      <w:r w:rsidRPr="00FF0D19">
        <w:rPr>
          <w:rFonts w:ascii="Times New Roman" w:eastAsia="Times New Roman" w:hAnsi="Times New Roman"/>
          <w:sz w:val="24"/>
          <w:szCs w:val="24"/>
          <w:lang w:val="en-US" w:eastAsia="it-IT"/>
        </w:rPr>
        <w:t>r (-3.1%).</w:t>
      </w:r>
      <w:r w:rsidR="00B72EF6">
        <w:rPr>
          <w:rFonts w:ascii="Times New Roman" w:eastAsia="Times New Roman" w:hAnsi="Times New Roman"/>
          <w:sz w:val="24"/>
          <w:szCs w:val="24"/>
          <w:lang w:val="en-US" w:eastAsia="it-IT"/>
        </w:rPr>
        <w:t xml:space="preserve"> </w:t>
      </w:r>
    </w:p>
    <w:p w:rsidR="001B1FD7" w:rsidRPr="00AF2A67" w:rsidRDefault="001B1FD7" w:rsidP="00FF0D19">
      <w:pPr>
        <w:spacing w:after="0"/>
        <w:jc w:val="both"/>
        <w:rPr>
          <w:rFonts w:ascii="Times New Roman" w:eastAsia="Times New Roman" w:hAnsi="Times New Roman"/>
          <w:b/>
          <w:i/>
          <w:noProof/>
          <w:lang w:val="en-US" w:eastAsia="ru-RU"/>
        </w:rPr>
      </w:pPr>
      <w:r w:rsidRPr="00AF2A67">
        <w:rPr>
          <w:rFonts w:ascii="Times New Roman" w:eastAsia="Times New Roman" w:hAnsi="Times New Roman"/>
          <w:sz w:val="24"/>
          <w:szCs w:val="24"/>
          <w:lang w:val="en-US" w:eastAsia="it-IT"/>
        </w:rPr>
        <w:t xml:space="preserve"> </w:t>
      </w:r>
    </w:p>
    <w:p w:rsidR="00636141" w:rsidRPr="00636141" w:rsidRDefault="00636141" w:rsidP="001B1FD7">
      <w:pPr>
        <w:pStyle w:val="afc"/>
        <w:spacing w:line="276" w:lineRule="auto"/>
        <w:rPr>
          <w:rFonts w:ascii="Times New Roman" w:eastAsia="Times New Roman" w:hAnsi="Times New Roman"/>
          <w:b/>
          <w:i/>
          <w:noProof/>
          <w:sz w:val="18"/>
          <w:szCs w:val="18"/>
          <w:lang w:val="en-US" w:eastAsia="ru-RU"/>
        </w:rPr>
      </w:pPr>
      <w:r w:rsidRPr="00636141">
        <w:rPr>
          <w:rFonts w:ascii="Times New Roman" w:eastAsia="Times New Roman" w:hAnsi="Times New Roman"/>
          <w:b/>
          <w:i/>
          <w:noProof/>
          <w:sz w:val="18"/>
          <w:szCs w:val="18"/>
          <w:lang w:val="en-US" w:eastAsia="ru-RU"/>
        </w:rPr>
        <w:t xml:space="preserve">Figure 1. </w:t>
      </w:r>
      <w:r>
        <w:rPr>
          <w:rFonts w:ascii="Times New Roman" w:eastAsia="Times New Roman" w:hAnsi="Times New Roman"/>
          <w:b/>
          <w:i/>
          <w:noProof/>
          <w:sz w:val="18"/>
          <w:szCs w:val="18"/>
          <w:lang w:val="en-US" w:eastAsia="ru-RU"/>
        </w:rPr>
        <w:t>D</w:t>
      </w:r>
      <w:r w:rsidRPr="00636141">
        <w:rPr>
          <w:rFonts w:ascii="Times New Roman" w:eastAsia="Times New Roman" w:hAnsi="Times New Roman"/>
          <w:b/>
          <w:i/>
          <w:noProof/>
          <w:sz w:val="18"/>
          <w:szCs w:val="18"/>
          <w:lang w:val="en-US" w:eastAsia="ru-RU"/>
        </w:rPr>
        <w:t>ynamics of retail deposits amount in national and foreign currencies (in</w:t>
      </w:r>
      <w:r>
        <w:rPr>
          <w:rFonts w:ascii="Times New Roman" w:eastAsia="Times New Roman" w:hAnsi="Times New Roman"/>
          <w:b/>
          <w:i/>
          <w:noProof/>
          <w:sz w:val="18"/>
          <w:szCs w:val="18"/>
          <w:lang w:val="en-US" w:eastAsia="ru-RU"/>
        </w:rPr>
        <w:t xml:space="preserve"> bln. </w:t>
      </w:r>
      <w:r w:rsidR="00377CDE">
        <w:rPr>
          <w:rFonts w:ascii="Times New Roman" w:eastAsia="Times New Roman" w:hAnsi="Times New Roman"/>
          <w:b/>
          <w:i/>
          <w:noProof/>
          <w:sz w:val="18"/>
          <w:szCs w:val="18"/>
          <w:lang w:val="en-US" w:eastAsia="ru-RU"/>
        </w:rPr>
        <w:t>T</w:t>
      </w:r>
      <w:r>
        <w:rPr>
          <w:rFonts w:ascii="Times New Roman" w:eastAsia="Times New Roman" w:hAnsi="Times New Roman"/>
          <w:b/>
          <w:i/>
          <w:noProof/>
          <w:sz w:val="18"/>
          <w:szCs w:val="18"/>
          <w:lang w:val="en-US" w:eastAsia="ru-RU"/>
        </w:rPr>
        <w:t>enge</w:t>
      </w:r>
      <w:r w:rsidR="00377CDE">
        <w:rPr>
          <w:rFonts w:ascii="Times New Roman" w:eastAsia="Times New Roman" w:hAnsi="Times New Roman"/>
          <w:b/>
          <w:i/>
          <w:noProof/>
          <w:sz w:val="18"/>
          <w:szCs w:val="18"/>
          <w:lang w:val="en-US" w:eastAsia="ru-RU"/>
        </w:rPr>
        <w:t xml:space="preserve"> </w:t>
      </w:r>
      <w:r>
        <w:rPr>
          <w:rFonts w:ascii="Times New Roman" w:eastAsia="Times New Roman" w:hAnsi="Times New Roman"/>
          <w:b/>
          <w:i/>
          <w:noProof/>
          <w:sz w:val="18"/>
          <w:szCs w:val="18"/>
          <w:lang w:val="en-US" w:eastAsia="ru-RU"/>
        </w:rPr>
        <w:t xml:space="preserve">and in </w:t>
      </w:r>
      <w:r w:rsidRPr="00636141">
        <w:rPr>
          <w:rFonts w:ascii="Times New Roman" w:eastAsia="Times New Roman" w:hAnsi="Times New Roman"/>
          <w:b/>
          <w:i/>
          <w:noProof/>
          <w:sz w:val="18"/>
          <w:szCs w:val="18"/>
          <w:lang w:val="en-US" w:eastAsia="ru-RU"/>
        </w:rPr>
        <w:t>%)</w:t>
      </w:r>
    </w:p>
    <w:p w:rsidR="001B1FD7" w:rsidRPr="00636141" w:rsidRDefault="001B1FD7" w:rsidP="001B1FD7">
      <w:pPr>
        <w:pStyle w:val="afc"/>
        <w:spacing w:line="276" w:lineRule="auto"/>
        <w:rPr>
          <w:rFonts w:ascii="Times New Roman" w:eastAsia="Times New Roman" w:hAnsi="Times New Roman"/>
          <w:b/>
          <w:i/>
          <w:noProof/>
          <w:sz w:val="16"/>
          <w:szCs w:val="16"/>
          <w:lang w:val="en-US" w:eastAsia="ru-RU"/>
        </w:rPr>
      </w:pPr>
    </w:p>
    <w:tbl>
      <w:tblPr>
        <w:tblW w:w="0" w:type="auto"/>
        <w:tblLayout w:type="fixed"/>
        <w:tblLook w:val="04A0" w:firstRow="1" w:lastRow="0" w:firstColumn="1" w:lastColumn="0" w:noHBand="0" w:noVBand="1"/>
      </w:tblPr>
      <w:tblGrid>
        <w:gridCol w:w="5070"/>
        <w:gridCol w:w="4925"/>
      </w:tblGrid>
      <w:tr w:rsidR="001B1FD7" w:rsidRPr="008B1AFD" w:rsidTr="00377CDE">
        <w:tc>
          <w:tcPr>
            <w:tcW w:w="5070" w:type="dxa"/>
            <w:shd w:val="clear" w:color="auto" w:fill="auto"/>
          </w:tcPr>
          <w:p w:rsidR="001B1FD7" w:rsidRPr="008B1AFD" w:rsidRDefault="00377CDE" w:rsidP="001539CD">
            <w:pPr>
              <w:pStyle w:val="afc"/>
              <w:spacing w:line="276" w:lineRule="auto"/>
              <w:rPr>
                <w:rFonts w:ascii="Times New Roman" w:eastAsia="Times New Roman" w:hAnsi="Times New Roman"/>
                <w:noProof/>
                <w:sz w:val="16"/>
                <w:szCs w:val="16"/>
                <w:lang w:eastAsia="ru-RU"/>
              </w:rPr>
            </w:pPr>
            <w:r>
              <w:rPr>
                <w:noProof/>
                <w:lang w:eastAsia="ru-RU"/>
              </w:rPr>
              <w:drawing>
                <wp:inline distT="0" distB="0" distL="0" distR="0" wp14:anchorId="667C7041" wp14:editId="4EEB656D">
                  <wp:extent cx="3444240" cy="1798320"/>
                  <wp:effectExtent l="0" t="0" r="381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4925" w:type="dxa"/>
            <w:shd w:val="clear" w:color="auto" w:fill="auto"/>
          </w:tcPr>
          <w:p w:rsidR="001B1FD7" w:rsidRPr="008B1AFD" w:rsidRDefault="00377CDE" w:rsidP="001539CD">
            <w:pPr>
              <w:pStyle w:val="afc"/>
              <w:spacing w:line="276" w:lineRule="auto"/>
              <w:rPr>
                <w:rFonts w:ascii="Times New Roman" w:eastAsia="Times New Roman" w:hAnsi="Times New Roman"/>
                <w:noProof/>
                <w:sz w:val="16"/>
                <w:szCs w:val="16"/>
                <w:lang w:eastAsia="ru-RU"/>
              </w:rPr>
            </w:pPr>
            <w:r>
              <w:rPr>
                <w:noProof/>
                <w:lang w:eastAsia="ru-RU"/>
              </w:rPr>
              <w:drawing>
                <wp:inline distT="0" distB="0" distL="0" distR="0" wp14:anchorId="2A7EA739" wp14:editId="11C9B598">
                  <wp:extent cx="3200400" cy="185166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1B1FD7" w:rsidRPr="00A779D7" w:rsidRDefault="001B1FD7" w:rsidP="001B1FD7">
      <w:pPr>
        <w:pStyle w:val="afc"/>
        <w:spacing w:line="276" w:lineRule="auto"/>
        <w:rPr>
          <w:rFonts w:ascii="Times New Roman" w:eastAsia="Times New Roman" w:hAnsi="Times New Roman"/>
          <w:noProof/>
          <w:sz w:val="16"/>
          <w:szCs w:val="16"/>
          <w:lang w:eastAsia="ru-RU"/>
        </w:rPr>
      </w:pPr>
    </w:p>
    <w:p w:rsidR="00B72EF6" w:rsidRPr="00B72EF6" w:rsidRDefault="00B72EF6" w:rsidP="00D15328">
      <w:pPr>
        <w:spacing w:after="0"/>
        <w:ind w:firstLine="708"/>
        <w:jc w:val="both"/>
        <w:rPr>
          <w:rFonts w:ascii="Times New Roman" w:eastAsia="Times New Roman" w:hAnsi="Times New Roman"/>
          <w:color w:val="000000"/>
          <w:sz w:val="24"/>
          <w:szCs w:val="24"/>
          <w:lang w:val="en-US" w:eastAsia="ru-RU"/>
        </w:rPr>
      </w:pPr>
      <w:r w:rsidRPr="00B72EF6">
        <w:rPr>
          <w:rFonts w:ascii="Times New Roman" w:eastAsia="Times New Roman" w:hAnsi="Times New Roman"/>
          <w:color w:val="000000"/>
          <w:sz w:val="24"/>
          <w:szCs w:val="24"/>
          <w:lang w:val="en-US" w:eastAsia="ru-RU"/>
        </w:rPr>
        <w:t>The total retail deposit</w:t>
      </w:r>
      <w:r>
        <w:rPr>
          <w:rFonts w:ascii="Times New Roman" w:eastAsia="Times New Roman" w:hAnsi="Times New Roman"/>
          <w:color w:val="000000"/>
          <w:sz w:val="24"/>
          <w:szCs w:val="24"/>
          <w:lang w:val="en-US" w:eastAsia="ru-RU"/>
        </w:rPr>
        <w:t>s</w:t>
      </w:r>
      <w:r w:rsidRPr="00B72EF6">
        <w:rPr>
          <w:rFonts w:ascii="Times New Roman" w:eastAsia="Times New Roman" w:hAnsi="Times New Roman"/>
          <w:color w:val="000000"/>
          <w:sz w:val="24"/>
          <w:szCs w:val="24"/>
          <w:lang w:val="en-US" w:eastAsia="ru-RU"/>
        </w:rPr>
        <w:t xml:space="preserve"> portfolio of member-banks consisted of the </w:t>
      </w:r>
      <w:r w:rsidRPr="00B72EF6">
        <w:rPr>
          <w:rFonts w:ascii="Times New Roman" w:eastAsia="Times New Roman" w:hAnsi="Times New Roman"/>
          <w:i/>
          <w:color w:val="000000"/>
          <w:sz w:val="24"/>
          <w:szCs w:val="24"/>
          <w:lang w:val="en-US" w:eastAsia="ru-RU"/>
        </w:rPr>
        <w:t>term and conditional deposits</w:t>
      </w:r>
      <w:r w:rsidRPr="00B72EF6">
        <w:rPr>
          <w:rFonts w:ascii="Times New Roman" w:eastAsia="Times New Roman" w:hAnsi="Times New Roman"/>
          <w:color w:val="000000"/>
          <w:sz w:val="24"/>
          <w:szCs w:val="24"/>
          <w:lang w:val="en-US" w:eastAsia="ru-RU"/>
        </w:rPr>
        <w:t xml:space="preserve"> with the share of 89.</w:t>
      </w:r>
      <w:r>
        <w:rPr>
          <w:rFonts w:ascii="Times New Roman" w:eastAsia="Times New Roman" w:hAnsi="Times New Roman"/>
          <w:color w:val="000000"/>
          <w:sz w:val="24"/>
          <w:szCs w:val="24"/>
          <w:lang w:val="en-US" w:eastAsia="ru-RU"/>
        </w:rPr>
        <w:t>5</w:t>
      </w:r>
      <w:r w:rsidRPr="00B72EF6">
        <w:rPr>
          <w:rFonts w:ascii="Times New Roman" w:eastAsia="Times New Roman" w:hAnsi="Times New Roman"/>
          <w:color w:val="000000"/>
          <w:sz w:val="24"/>
          <w:szCs w:val="24"/>
          <w:lang w:val="en-US" w:eastAsia="ru-RU"/>
        </w:rPr>
        <w:t xml:space="preserve">%, or </w:t>
      </w:r>
      <w:r>
        <w:rPr>
          <w:rFonts w:ascii="Times New Roman" w:eastAsia="Times New Roman" w:hAnsi="Times New Roman"/>
          <w:color w:val="000000"/>
          <w:sz w:val="24"/>
          <w:szCs w:val="24"/>
          <w:lang w:val="en-US" w:eastAsia="ru-RU"/>
        </w:rPr>
        <w:t>T3</w:t>
      </w:r>
      <w:r w:rsidRPr="00B72EF6">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val="en-US" w:eastAsia="ru-RU"/>
        </w:rPr>
        <w:t>8 trillion which de</w:t>
      </w:r>
      <w:r w:rsidRPr="00B72EF6">
        <w:rPr>
          <w:rFonts w:ascii="Times New Roman" w:eastAsia="Times New Roman" w:hAnsi="Times New Roman"/>
          <w:color w:val="000000"/>
          <w:sz w:val="24"/>
          <w:szCs w:val="24"/>
          <w:lang w:val="en-US" w:eastAsia="ru-RU"/>
        </w:rPr>
        <w:t>creased over the quarter by</w:t>
      </w:r>
      <w:r>
        <w:rPr>
          <w:rFonts w:ascii="Times New Roman" w:eastAsia="Times New Roman" w:hAnsi="Times New Roman"/>
          <w:color w:val="000000"/>
          <w:sz w:val="24"/>
          <w:szCs w:val="24"/>
          <w:lang w:val="en-US" w:eastAsia="ru-RU"/>
        </w:rPr>
        <w:t xml:space="preserve"> Т113.</w:t>
      </w:r>
      <w:r w:rsidRPr="00B72EF6">
        <w:rPr>
          <w:rFonts w:ascii="Times New Roman" w:eastAsia="Times New Roman" w:hAnsi="Times New Roman"/>
          <w:color w:val="000000"/>
          <w:sz w:val="24"/>
          <w:szCs w:val="24"/>
          <w:lang w:val="en-US" w:eastAsia="ru-RU"/>
        </w:rPr>
        <w:t>3</w:t>
      </w:r>
      <w:r>
        <w:rPr>
          <w:rFonts w:ascii="Times New Roman" w:eastAsia="Times New Roman" w:hAnsi="Times New Roman"/>
          <w:color w:val="000000"/>
          <w:sz w:val="24"/>
          <w:szCs w:val="24"/>
          <w:lang w:val="en-US" w:eastAsia="ru-RU"/>
        </w:rPr>
        <w:t xml:space="preserve"> billion or </w:t>
      </w:r>
      <w:r w:rsidRPr="00B72EF6">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2</w:t>
      </w:r>
      <w:r w:rsidRPr="00B72EF6">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val="en-US" w:eastAsia="ru-RU"/>
        </w:rPr>
        <w:t>9</w:t>
      </w:r>
      <w:r w:rsidRPr="00B72EF6">
        <w:rPr>
          <w:rFonts w:ascii="Times New Roman" w:eastAsia="Times New Roman" w:hAnsi="Times New Roman"/>
          <w:color w:val="000000"/>
          <w:sz w:val="24"/>
          <w:szCs w:val="24"/>
          <w:lang w:val="en-US" w:eastAsia="ru-RU"/>
        </w:rPr>
        <w:t xml:space="preserve">%, </w:t>
      </w:r>
      <w:r w:rsidRPr="00B72EF6">
        <w:rPr>
          <w:rFonts w:ascii="Times New Roman" w:eastAsia="Times New Roman" w:hAnsi="Times New Roman"/>
          <w:i/>
          <w:color w:val="000000"/>
          <w:sz w:val="24"/>
          <w:szCs w:val="24"/>
          <w:lang w:val="en-US" w:eastAsia="ru-RU"/>
        </w:rPr>
        <w:t>current and card accounts balances</w:t>
      </w:r>
      <w:r w:rsidRPr="00B72EF6">
        <w:rPr>
          <w:rFonts w:ascii="Times New Roman" w:eastAsia="Times New Roman" w:hAnsi="Times New Roman"/>
          <w:color w:val="000000"/>
          <w:sz w:val="24"/>
          <w:szCs w:val="24"/>
          <w:lang w:val="en-US" w:eastAsia="ru-RU"/>
        </w:rPr>
        <w:t xml:space="preserve"> with a share of 10.</w:t>
      </w:r>
      <w:r>
        <w:rPr>
          <w:rFonts w:ascii="Times New Roman" w:eastAsia="Times New Roman" w:hAnsi="Times New Roman"/>
          <w:color w:val="000000"/>
          <w:sz w:val="24"/>
          <w:szCs w:val="24"/>
          <w:lang w:val="en-US" w:eastAsia="ru-RU"/>
        </w:rPr>
        <w:t>2% (T</w:t>
      </w:r>
      <w:r w:rsidRPr="00B72EF6">
        <w:rPr>
          <w:rFonts w:ascii="Times New Roman" w:eastAsia="Times New Roman" w:hAnsi="Times New Roman"/>
          <w:color w:val="000000"/>
          <w:sz w:val="24"/>
          <w:szCs w:val="24"/>
          <w:lang w:val="en-US" w:eastAsia="ru-RU"/>
        </w:rPr>
        <w:t>4</w:t>
      </w:r>
      <w:r>
        <w:rPr>
          <w:rFonts w:ascii="Times New Roman" w:eastAsia="Times New Roman" w:hAnsi="Times New Roman"/>
          <w:color w:val="000000"/>
          <w:sz w:val="24"/>
          <w:szCs w:val="24"/>
          <w:lang w:val="en-US" w:eastAsia="ru-RU"/>
        </w:rPr>
        <w:t>38</w:t>
      </w:r>
      <w:r w:rsidRPr="00B72EF6">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val="en-US" w:eastAsia="ru-RU"/>
        </w:rPr>
        <w:t>3 billion)</w:t>
      </w:r>
      <w:r w:rsidRPr="00B72EF6">
        <w:rPr>
          <w:rFonts w:ascii="Times New Roman" w:eastAsia="Times New Roman" w:hAnsi="Times New Roman"/>
          <w:color w:val="000000"/>
          <w:sz w:val="24"/>
          <w:szCs w:val="24"/>
          <w:lang w:val="en-US" w:eastAsia="ru-RU"/>
        </w:rPr>
        <w:t xml:space="preserve">, having </w:t>
      </w:r>
      <w:r>
        <w:rPr>
          <w:rFonts w:ascii="Times New Roman" w:eastAsia="Times New Roman" w:hAnsi="Times New Roman"/>
          <w:color w:val="000000"/>
          <w:sz w:val="24"/>
          <w:szCs w:val="24"/>
          <w:lang w:val="en-US" w:eastAsia="ru-RU"/>
        </w:rPr>
        <w:t>dropped</w:t>
      </w:r>
      <w:r w:rsidRPr="00B72EF6">
        <w:rPr>
          <w:rFonts w:ascii="Times New Roman" w:eastAsia="Times New Roman" w:hAnsi="Times New Roman"/>
          <w:color w:val="000000"/>
          <w:sz w:val="24"/>
          <w:szCs w:val="24"/>
          <w:lang w:val="en-US" w:eastAsia="ru-RU"/>
        </w:rPr>
        <w:t xml:space="preserve"> </w:t>
      </w:r>
      <w:r w:rsidR="00D15328">
        <w:rPr>
          <w:rFonts w:ascii="Times New Roman" w:eastAsia="Times New Roman" w:hAnsi="Times New Roman"/>
          <w:color w:val="000000"/>
          <w:sz w:val="24"/>
          <w:szCs w:val="24"/>
          <w:lang w:val="en-US" w:eastAsia="ru-RU"/>
        </w:rPr>
        <w:t>by T21.1</w:t>
      </w:r>
      <w:r>
        <w:rPr>
          <w:rFonts w:ascii="Times New Roman" w:eastAsia="Times New Roman" w:hAnsi="Times New Roman"/>
          <w:color w:val="000000"/>
          <w:sz w:val="24"/>
          <w:szCs w:val="24"/>
          <w:lang w:val="en-US" w:eastAsia="ru-RU"/>
        </w:rPr>
        <w:t xml:space="preserve"> billion or 4.6</w:t>
      </w:r>
      <w:r w:rsidRPr="00B72EF6">
        <w:rPr>
          <w:rFonts w:ascii="Times New Roman" w:eastAsia="Times New Roman" w:hAnsi="Times New Roman"/>
          <w:color w:val="000000"/>
          <w:sz w:val="24"/>
          <w:szCs w:val="24"/>
          <w:lang w:val="en-US" w:eastAsia="ru-RU"/>
        </w:rPr>
        <w:t xml:space="preserve">%, and </w:t>
      </w:r>
      <w:r w:rsidRPr="00B72EF6">
        <w:rPr>
          <w:rFonts w:ascii="Times New Roman" w:eastAsia="Times New Roman" w:hAnsi="Times New Roman"/>
          <w:i/>
          <w:color w:val="000000"/>
          <w:sz w:val="24"/>
          <w:szCs w:val="24"/>
          <w:lang w:val="en-US" w:eastAsia="ru-RU"/>
        </w:rPr>
        <w:t>call deposits</w:t>
      </w:r>
      <w:r w:rsidRPr="00B72EF6">
        <w:rPr>
          <w:rFonts w:ascii="Times New Roman" w:eastAsia="Times New Roman" w:hAnsi="Times New Roman"/>
          <w:color w:val="000000"/>
          <w:sz w:val="24"/>
          <w:szCs w:val="24"/>
          <w:lang w:val="en-US" w:eastAsia="ru-RU"/>
        </w:rPr>
        <w:t xml:space="preserve"> with the share of 0.</w:t>
      </w:r>
      <w:r>
        <w:rPr>
          <w:rFonts w:ascii="Times New Roman" w:eastAsia="Times New Roman" w:hAnsi="Times New Roman"/>
          <w:color w:val="000000"/>
          <w:sz w:val="24"/>
          <w:szCs w:val="24"/>
          <w:lang w:val="en-US" w:eastAsia="ru-RU"/>
        </w:rPr>
        <w:t>3% (T</w:t>
      </w:r>
      <w:r w:rsidRPr="00B72EF6">
        <w:rPr>
          <w:rFonts w:ascii="Times New Roman" w:eastAsia="Times New Roman" w:hAnsi="Times New Roman"/>
          <w:color w:val="000000"/>
          <w:sz w:val="24"/>
          <w:szCs w:val="24"/>
          <w:lang w:val="en-US" w:eastAsia="ru-RU"/>
        </w:rPr>
        <w:t>1</w:t>
      </w:r>
      <w:r>
        <w:rPr>
          <w:rFonts w:ascii="Times New Roman" w:eastAsia="Times New Roman" w:hAnsi="Times New Roman"/>
          <w:color w:val="000000"/>
          <w:sz w:val="24"/>
          <w:szCs w:val="24"/>
          <w:lang w:val="en-US" w:eastAsia="ru-RU"/>
        </w:rPr>
        <w:t>3</w:t>
      </w:r>
      <w:r w:rsidRPr="00B72EF6">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val="en-US" w:eastAsia="ru-RU"/>
        </w:rPr>
        <w:t>8 billion)</w:t>
      </w:r>
      <w:r w:rsidRPr="00B72EF6">
        <w:rPr>
          <w:rFonts w:ascii="Times New Roman" w:eastAsia="Times New Roman" w:hAnsi="Times New Roman"/>
          <w:color w:val="000000"/>
          <w:sz w:val="24"/>
          <w:szCs w:val="24"/>
          <w:lang w:val="en-US" w:eastAsia="ru-RU"/>
        </w:rPr>
        <w:t xml:space="preserve"> d</w:t>
      </w:r>
      <w:r>
        <w:rPr>
          <w:rFonts w:ascii="Times New Roman" w:eastAsia="Times New Roman" w:hAnsi="Times New Roman"/>
          <w:color w:val="000000"/>
          <w:sz w:val="24"/>
          <w:szCs w:val="24"/>
          <w:lang w:val="en-US" w:eastAsia="ru-RU"/>
        </w:rPr>
        <w:t>ecrease</w:t>
      </w:r>
      <w:r w:rsidRPr="00B72EF6">
        <w:rPr>
          <w:rFonts w:ascii="Times New Roman" w:eastAsia="Times New Roman" w:hAnsi="Times New Roman"/>
          <w:color w:val="000000"/>
          <w:sz w:val="24"/>
          <w:szCs w:val="24"/>
          <w:lang w:val="en-US" w:eastAsia="ru-RU"/>
        </w:rPr>
        <w:t>d by</w:t>
      </w:r>
      <w:r>
        <w:rPr>
          <w:rFonts w:ascii="Times New Roman" w:eastAsia="Times New Roman" w:hAnsi="Times New Roman"/>
          <w:color w:val="000000"/>
          <w:sz w:val="24"/>
          <w:szCs w:val="24"/>
          <w:lang w:val="en-US" w:eastAsia="ru-RU"/>
        </w:rPr>
        <w:t xml:space="preserve"> T5.7 billion </w:t>
      </w:r>
      <w:r w:rsidR="00D15328">
        <w:rPr>
          <w:rFonts w:ascii="Times New Roman" w:eastAsia="Times New Roman" w:hAnsi="Times New Roman"/>
          <w:color w:val="000000"/>
          <w:sz w:val="24"/>
          <w:szCs w:val="24"/>
          <w:lang w:val="en-US" w:eastAsia="ru-RU"/>
        </w:rPr>
        <w:t xml:space="preserve">or </w:t>
      </w:r>
      <w:r w:rsidR="00D15328" w:rsidRPr="00B72EF6">
        <w:rPr>
          <w:rFonts w:ascii="Times New Roman" w:eastAsia="Times New Roman" w:hAnsi="Times New Roman"/>
          <w:color w:val="000000"/>
          <w:sz w:val="24"/>
          <w:szCs w:val="24"/>
          <w:lang w:val="en-US" w:eastAsia="ru-RU"/>
        </w:rPr>
        <w:t>29.2</w:t>
      </w:r>
      <w:r w:rsidRPr="00B72EF6">
        <w:rPr>
          <w:rFonts w:ascii="Times New Roman" w:eastAsia="Times New Roman" w:hAnsi="Times New Roman"/>
          <w:color w:val="000000"/>
          <w:sz w:val="24"/>
          <w:szCs w:val="24"/>
          <w:lang w:val="en-US" w:eastAsia="ru-RU"/>
        </w:rPr>
        <w:t>%.</w:t>
      </w:r>
    </w:p>
    <w:p w:rsidR="00C34211" w:rsidRPr="00B72EF6" w:rsidRDefault="00C34211" w:rsidP="001B1FD7">
      <w:pPr>
        <w:pStyle w:val="afc"/>
        <w:spacing w:line="276" w:lineRule="auto"/>
        <w:rPr>
          <w:rFonts w:ascii="Times New Roman" w:hAnsi="Times New Roman"/>
          <w:b/>
          <w:i/>
          <w:noProof/>
          <w:sz w:val="18"/>
          <w:szCs w:val="18"/>
          <w:lang w:val="en-US" w:eastAsia="ru-RU"/>
        </w:rPr>
      </w:pPr>
    </w:p>
    <w:p w:rsidR="00636141" w:rsidRPr="00636141" w:rsidRDefault="00636141" w:rsidP="00C34211">
      <w:pPr>
        <w:pStyle w:val="afc"/>
        <w:spacing w:line="276" w:lineRule="auto"/>
        <w:rPr>
          <w:rFonts w:ascii="Times New Roman" w:hAnsi="Times New Roman"/>
          <w:b/>
          <w:i/>
          <w:noProof/>
          <w:sz w:val="18"/>
          <w:szCs w:val="18"/>
          <w:lang w:val="en-US" w:eastAsia="ru-RU"/>
        </w:rPr>
      </w:pPr>
      <w:r w:rsidRPr="00636141">
        <w:rPr>
          <w:rFonts w:ascii="Times New Roman" w:hAnsi="Times New Roman"/>
          <w:b/>
          <w:i/>
          <w:noProof/>
          <w:sz w:val="18"/>
          <w:szCs w:val="18"/>
          <w:lang w:val="en-US" w:eastAsia="ru-RU"/>
        </w:rPr>
        <w:t>Figure 2. Structure of retail deposits portfolio by the main categories (in</w:t>
      </w:r>
      <w:r>
        <w:rPr>
          <w:rFonts w:ascii="Times New Roman" w:hAnsi="Times New Roman"/>
          <w:b/>
          <w:i/>
          <w:noProof/>
          <w:sz w:val="18"/>
          <w:szCs w:val="18"/>
          <w:lang w:val="en-US" w:eastAsia="ru-RU"/>
        </w:rPr>
        <w:t xml:space="preserve"> %</w:t>
      </w:r>
      <w:r w:rsidRPr="00636141">
        <w:rPr>
          <w:rFonts w:ascii="Times New Roman" w:hAnsi="Times New Roman"/>
          <w:b/>
          <w:i/>
          <w:noProof/>
          <w:sz w:val="18"/>
          <w:szCs w:val="18"/>
          <w:lang w:val="en-US" w:eastAsia="ru-RU"/>
        </w:rPr>
        <w:t>)</w:t>
      </w:r>
    </w:p>
    <w:p w:rsidR="001B1FD7" w:rsidRDefault="00E71405" w:rsidP="00C34211">
      <w:pPr>
        <w:spacing w:after="0"/>
        <w:ind w:firstLine="567"/>
        <w:jc w:val="center"/>
        <w:rPr>
          <w:rFonts w:ascii="Times New Roman" w:eastAsia="Times New Roman" w:hAnsi="Times New Roman"/>
          <w:color w:val="000000"/>
          <w:sz w:val="24"/>
          <w:szCs w:val="24"/>
          <w:lang w:eastAsia="ru-RU"/>
        </w:rPr>
      </w:pPr>
      <w:r>
        <w:rPr>
          <w:noProof/>
          <w:lang w:eastAsia="ru-RU"/>
        </w:rPr>
        <w:drawing>
          <wp:inline distT="0" distB="0" distL="0" distR="0" wp14:anchorId="01C8F6D1" wp14:editId="15B1680D">
            <wp:extent cx="3832860" cy="2011680"/>
            <wp:effectExtent l="0" t="0" r="0" b="762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B1FD7" w:rsidRDefault="001B1FD7" w:rsidP="004A175F">
      <w:pPr>
        <w:spacing w:after="0"/>
        <w:jc w:val="both"/>
        <w:rPr>
          <w:rFonts w:ascii="Times New Roman" w:eastAsia="Times New Roman" w:hAnsi="Times New Roman"/>
          <w:sz w:val="24"/>
          <w:szCs w:val="24"/>
          <w:lang w:eastAsia="it-IT"/>
        </w:rPr>
      </w:pPr>
    </w:p>
    <w:p w:rsidR="007D7B66" w:rsidRDefault="001D57E0" w:rsidP="001B1FD7">
      <w:pPr>
        <w:spacing w:after="0"/>
        <w:ind w:firstLine="567"/>
        <w:jc w:val="both"/>
        <w:rPr>
          <w:rFonts w:ascii="Times New Roman" w:eastAsia="Times New Roman" w:hAnsi="Times New Roman"/>
          <w:noProof/>
          <w:sz w:val="24"/>
          <w:szCs w:val="24"/>
          <w:lang w:val="en-US" w:eastAsia="ru-RU"/>
        </w:rPr>
      </w:pPr>
      <w:r w:rsidRPr="00B72EF6">
        <w:rPr>
          <w:rFonts w:ascii="Times New Roman" w:eastAsia="Times New Roman" w:hAnsi="Times New Roman"/>
          <w:noProof/>
          <w:sz w:val="24"/>
          <w:szCs w:val="24"/>
          <w:lang w:val="en-US" w:eastAsia="ru-RU"/>
        </w:rPr>
        <w:lastRenderedPageBreak/>
        <w:t>The</w:t>
      </w:r>
      <w:r w:rsidRPr="00B72EF6">
        <w:rPr>
          <w:rFonts w:ascii="Times New Roman" w:eastAsia="Times New Roman" w:hAnsi="Times New Roman"/>
          <w:b/>
          <w:i/>
          <w:noProof/>
          <w:sz w:val="24"/>
          <w:szCs w:val="24"/>
          <w:lang w:val="en-US" w:eastAsia="ru-RU"/>
        </w:rPr>
        <w:t xml:space="preserve"> term and conditional deposits</w:t>
      </w:r>
      <w:r w:rsidRPr="00B72EF6">
        <w:rPr>
          <w:rFonts w:ascii="Times New Roman" w:eastAsia="Times New Roman" w:hAnsi="Times New Roman"/>
          <w:noProof/>
          <w:sz w:val="24"/>
          <w:szCs w:val="24"/>
          <w:lang w:val="en-US" w:eastAsia="ru-RU"/>
        </w:rPr>
        <w:t xml:space="preserve"> </w:t>
      </w:r>
      <w:r>
        <w:rPr>
          <w:rFonts w:ascii="Times New Roman" w:eastAsia="Times New Roman" w:hAnsi="Times New Roman"/>
          <w:b/>
          <w:i/>
          <w:noProof/>
          <w:sz w:val="24"/>
          <w:szCs w:val="24"/>
          <w:lang w:val="en-US" w:eastAsia="ru-RU"/>
        </w:rPr>
        <w:t>up to T5 mln.</w:t>
      </w:r>
      <w:r w:rsidRPr="00B72EF6">
        <w:rPr>
          <w:rFonts w:ascii="Times New Roman" w:eastAsia="Times New Roman" w:hAnsi="Times New Roman"/>
          <w:noProof/>
          <w:sz w:val="24"/>
          <w:szCs w:val="24"/>
          <w:lang w:val="en-US" w:eastAsia="ru-RU"/>
        </w:rPr>
        <w:t xml:space="preserve">, composing </w:t>
      </w:r>
      <w:r>
        <w:rPr>
          <w:rFonts w:ascii="Times New Roman" w:eastAsia="Times New Roman" w:hAnsi="Times New Roman"/>
          <w:noProof/>
          <w:sz w:val="24"/>
          <w:szCs w:val="24"/>
          <w:lang w:val="en-US" w:eastAsia="ru-RU"/>
        </w:rPr>
        <w:t>30</w:t>
      </w:r>
      <w:r w:rsidRPr="00B72EF6">
        <w:rPr>
          <w:rFonts w:ascii="Times New Roman" w:eastAsia="Times New Roman" w:hAnsi="Times New Roman"/>
          <w:noProof/>
          <w:sz w:val="24"/>
          <w:szCs w:val="24"/>
          <w:lang w:val="en-US" w:eastAsia="ru-RU"/>
        </w:rPr>
        <w:t>.</w:t>
      </w:r>
      <w:r>
        <w:rPr>
          <w:rFonts w:ascii="Times New Roman" w:eastAsia="Times New Roman" w:hAnsi="Times New Roman"/>
          <w:noProof/>
          <w:sz w:val="24"/>
          <w:szCs w:val="24"/>
          <w:lang w:val="en-US" w:eastAsia="ru-RU"/>
        </w:rPr>
        <w:t xml:space="preserve">3% (or T1.3 trillion) of the aggregate individuals’ </w:t>
      </w:r>
      <w:r w:rsidRPr="00B72EF6">
        <w:rPr>
          <w:rFonts w:ascii="Times New Roman" w:eastAsia="Times New Roman" w:hAnsi="Times New Roman"/>
          <w:noProof/>
          <w:sz w:val="24"/>
          <w:szCs w:val="24"/>
          <w:lang w:val="en-US" w:eastAsia="ru-RU"/>
        </w:rPr>
        <w:t>deposits portfolio</w:t>
      </w:r>
      <w:r>
        <w:rPr>
          <w:rFonts w:ascii="Times New Roman" w:eastAsia="Times New Roman" w:hAnsi="Times New Roman"/>
          <w:noProof/>
          <w:sz w:val="24"/>
          <w:szCs w:val="24"/>
          <w:lang w:val="en-US" w:eastAsia="ru-RU"/>
        </w:rPr>
        <w:t xml:space="preserve"> in member-banks</w:t>
      </w:r>
      <w:r w:rsidRPr="00B72EF6">
        <w:rPr>
          <w:rFonts w:ascii="Times New Roman" w:eastAsia="Times New Roman" w:hAnsi="Times New Roman"/>
          <w:noProof/>
          <w:sz w:val="24"/>
          <w:szCs w:val="24"/>
          <w:lang w:val="en-US" w:eastAsia="ru-RU"/>
        </w:rPr>
        <w:t xml:space="preserve">, have </w:t>
      </w:r>
      <w:r>
        <w:rPr>
          <w:rFonts w:ascii="Times New Roman" w:eastAsia="Times New Roman" w:hAnsi="Times New Roman"/>
          <w:noProof/>
          <w:sz w:val="24"/>
          <w:szCs w:val="24"/>
          <w:lang w:val="en-US" w:eastAsia="ru-RU"/>
        </w:rPr>
        <w:t>declined by</w:t>
      </w:r>
      <w:r w:rsidRPr="00B72EF6">
        <w:rPr>
          <w:rFonts w:ascii="Times New Roman" w:eastAsia="Times New Roman" w:hAnsi="Times New Roman"/>
          <w:noProof/>
          <w:sz w:val="24"/>
          <w:szCs w:val="24"/>
          <w:lang w:val="en-US" w:eastAsia="ru-RU"/>
        </w:rPr>
        <w:t xml:space="preserve"> </w:t>
      </w:r>
      <w:r>
        <w:rPr>
          <w:rFonts w:ascii="Times New Roman" w:eastAsia="Times New Roman" w:hAnsi="Times New Roman"/>
          <w:noProof/>
          <w:sz w:val="24"/>
          <w:szCs w:val="24"/>
          <w:lang w:val="en-US" w:eastAsia="ru-RU"/>
        </w:rPr>
        <w:t>T3</w:t>
      </w:r>
      <w:r w:rsidRPr="00B72EF6">
        <w:rPr>
          <w:rFonts w:ascii="Times New Roman" w:eastAsia="Times New Roman" w:hAnsi="Times New Roman"/>
          <w:noProof/>
          <w:sz w:val="24"/>
          <w:szCs w:val="24"/>
          <w:lang w:val="en-US" w:eastAsia="ru-RU"/>
        </w:rPr>
        <w:t>.</w:t>
      </w:r>
      <w:r>
        <w:rPr>
          <w:rFonts w:ascii="Times New Roman" w:eastAsia="Times New Roman" w:hAnsi="Times New Roman"/>
          <w:noProof/>
          <w:sz w:val="24"/>
          <w:szCs w:val="24"/>
          <w:lang w:val="en-US" w:eastAsia="ru-RU"/>
        </w:rPr>
        <w:t>6 billion over the quarter</w:t>
      </w:r>
      <w:r w:rsidRPr="00B72EF6">
        <w:rPr>
          <w:rFonts w:ascii="Times New Roman" w:eastAsia="Times New Roman" w:hAnsi="Times New Roman"/>
          <w:noProof/>
          <w:sz w:val="24"/>
          <w:szCs w:val="24"/>
          <w:lang w:val="en-US" w:eastAsia="ru-RU"/>
        </w:rPr>
        <w:t xml:space="preserve">. </w:t>
      </w:r>
      <w:r w:rsidR="007D7B66">
        <w:rPr>
          <w:rFonts w:ascii="Times New Roman" w:eastAsia="Times New Roman" w:hAnsi="Times New Roman"/>
          <w:noProof/>
          <w:sz w:val="24"/>
          <w:szCs w:val="24"/>
          <w:lang w:val="en-US" w:eastAsia="ru-RU"/>
        </w:rPr>
        <w:t>Whereas, te</w:t>
      </w:r>
      <w:r w:rsidRPr="00B72EF6">
        <w:rPr>
          <w:rFonts w:ascii="Times New Roman" w:eastAsia="Times New Roman" w:hAnsi="Times New Roman"/>
          <w:noProof/>
          <w:sz w:val="24"/>
          <w:szCs w:val="24"/>
          <w:lang w:val="en-US" w:eastAsia="ru-RU"/>
        </w:rPr>
        <w:t xml:space="preserve">rm and conditional deposits </w:t>
      </w:r>
      <w:r w:rsidRPr="001D57E0">
        <w:rPr>
          <w:rFonts w:ascii="Times New Roman" w:eastAsia="Times New Roman" w:hAnsi="Times New Roman"/>
          <w:b/>
          <w:i/>
          <w:noProof/>
          <w:sz w:val="24"/>
          <w:szCs w:val="24"/>
          <w:lang w:val="en-US" w:eastAsia="ru-RU"/>
        </w:rPr>
        <w:t xml:space="preserve">from </w:t>
      </w:r>
      <w:r>
        <w:rPr>
          <w:rFonts w:ascii="Times New Roman" w:eastAsia="Times New Roman" w:hAnsi="Times New Roman"/>
          <w:b/>
          <w:i/>
          <w:noProof/>
          <w:sz w:val="24"/>
          <w:szCs w:val="24"/>
          <w:lang w:val="en-US" w:eastAsia="ru-RU"/>
        </w:rPr>
        <w:t>T</w:t>
      </w:r>
      <w:r w:rsidRPr="001D57E0">
        <w:rPr>
          <w:rFonts w:ascii="Times New Roman" w:eastAsia="Times New Roman" w:hAnsi="Times New Roman"/>
          <w:b/>
          <w:i/>
          <w:noProof/>
          <w:sz w:val="24"/>
          <w:szCs w:val="24"/>
          <w:lang w:val="en-US" w:eastAsia="ru-RU"/>
        </w:rPr>
        <w:t xml:space="preserve">5 to </w:t>
      </w:r>
      <w:r>
        <w:rPr>
          <w:rFonts w:ascii="Times New Roman" w:eastAsia="Times New Roman" w:hAnsi="Times New Roman"/>
          <w:b/>
          <w:i/>
          <w:noProof/>
          <w:sz w:val="24"/>
          <w:szCs w:val="24"/>
          <w:lang w:val="en-US" w:eastAsia="ru-RU"/>
        </w:rPr>
        <w:t>T</w:t>
      </w:r>
      <w:r w:rsidRPr="001D57E0">
        <w:rPr>
          <w:rFonts w:ascii="Times New Roman" w:eastAsia="Times New Roman" w:hAnsi="Times New Roman"/>
          <w:b/>
          <w:i/>
          <w:noProof/>
          <w:sz w:val="24"/>
          <w:szCs w:val="24"/>
          <w:lang w:val="en-US" w:eastAsia="ru-RU"/>
        </w:rPr>
        <w:t>1</w:t>
      </w:r>
      <w:r w:rsidR="007D7B66">
        <w:rPr>
          <w:rFonts w:ascii="Times New Roman" w:eastAsia="Times New Roman" w:hAnsi="Times New Roman"/>
          <w:b/>
          <w:i/>
          <w:noProof/>
          <w:sz w:val="24"/>
          <w:szCs w:val="24"/>
          <w:lang w:val="en-US" w:eastAsia="ru-RU"/>
        </w:rPr>
        <w:t>0</w:t>
      </w:r>
      <w:r w:rsidRPr="001D57E0">
        <w:rPr>
          <w:rFonts w:ascii="Times New Roman" w:eastAsia="Times New Roman" w:hAnsi="Times New Roman"/>
          <w:b/>
          <w:i/>
          <w:noProof/>
          <w:sz w:val="24"/>
          <w:szCs w:val="24"/>
          <w:lang w:val="en-US" w:eastAsia="ru-RU"/>
        </w:rPr>
        <w:t xml:space="preserve"> mln.</w:t>
      </w:r>
      <w:r w:rsidRPr="00B72EF6">
        <w:rPr>
          <w:rFonts w:ascii="Times New Roman" w:eastAsia="Times New Roman" w:hAnsi="Times New Roman"/>
          <w:noProof/>
          <w:sz w:val="24"/>
          <w:szCs w:val="24"/>
          <w:lang w:val="en-US" w:eastAsia="ru-RU"/>
        </w:rPr>
        <w:t xml:space="preserve"> over the quarter </w:t>
      </w:r>
      <w:r w:rsidR="007D7B66">
        <w:rPr>
          <w:rFonts w:ascii="Times New Roman" w:eastAsia="Times New Roman" w:hAnsi="Times New Roman"/>
          <w:noProof/>
          <w:sz w:val="24"/>
          <w:szCs w:val="24"/>
          <w:lang w:val="en-US" w:eastAsia="ru-RU"/>
        </w:rPr>
        <w:t>increased</w:t>
      </w:r>
      <w:r w:rsidRPr="00B72EF6">
        <w:rPr>
          <w:rFonts w:ascii="Times New Roman" w:eastAsia="Times New Roman" w:hAnsi="Times New Roman"/>
          <w:noProof/>
          <w:sz w:val="24"/>
          <w:szCs w:val="24"/>
          <w:lang w:val="en-US" w:eastAsia="ru-RU"/>
        </w:rPr>
        <w:t xml:space="preserve"> by </w:t>
      </w:r>
      <w:r w:rsidR="007D7B66">
        <w:rPr>
          <w:rFonts w:ascii="Times New Roman" w:eastAsia="Times New Roman" w:hAnsi="Times New Roman"/>
          <w:noProof/>
          <w:sz w:val="24"/>
          <w:szCs w:val="24"/>
          <w:lang w:val="en-US" w:eastAsia="ru-RU"/>
        </w:rPr>
        <w:t>T14</w:t>
      </w:r>
      <w:r w:rsidRPr="00B72EF6">
        <w:rPr>
          <w:rFonts w:ascii="Times New Roman" w:eastAsia="Times New Roman" w:hAnsi="Times New Roman"/>
          <w:noProof/>
          <w:sz w:val="24"/>
          <w:szCs w:val="24"/>
          <w:lang w:val="en-US" w:eastAsia="ru-RU"/>
        </w:rPr>
        <w:t>.</w:t>
      </w:r>
      <w:r w:rsidR="007D7B66">
        <w:rPr>
          <w:rFonts w:ascii="Times New Roman" w:eastAsia="Times New Roman" w:hAnsi="Times New Roman"/>
          <w:noProof/>
          <w:sz w:val="24"/>
          <w:szCs w:val="24"/>
          <w:lang w:val="en-US" w:eastAsia="ru-RU"/>
        </w:rPr>
        <w:t>0</w:t>
      </w:r>
      <w:r w:rsidRPr="00B72EF6">
        <w:rPr>
          <w:rFonts w:ascii="Times New Roman" w:eastAsia="Times New Roman" w:hAnsi="Times New Roman"/>
          <w:noProof/>
          <w:sz w:val="24"/>
          <w:szCs w:val="24"/>
          <w:lang w:val="en-US" w:eastAsia="ru-RU"/>
        </w:rPr>
        <w:t xml:space="preserve"> billion and represent </w:t>
      </w:r>
      <w:r w:rsidR="007D7B66">
        <w:rPr>
          <w:rFonts w:ascii="Times New Roman" w:eastAsia="Times New Roman" w:hAnsi="Times New Roman"/>
          <w:noProof/>
          <w:sz w:val="24"/>
          <w:szCs w:val="24"/>
          <w:lang w:val="en-US" w:eastAsia="ru-RU"/>
        </w:rPr>
        <w:t>T</w:t>
      </w:r>
      <w:r w:rsidRPr="00B72EF6">
        <w:rPr>
          <w:rFonts w:ascii="Times New Roman" w:eastAsia="Times New Roman" w:hAnsi="Times New Roman"/>
          <w:noProof/>
          <w:sz w:val="24"/>
          <w:szCs w:val="24"/>
          <w:lang w:val="en-US" w:eastAsia="ru-RU"/>
        </w:rPr>
        <w:t>3</w:t>
      </w:r>
      <w:r w:rsidR="007D7B66">
        <w:rPr>
          <w:rFonts w:ascii="Times New Roman" w:eastAsia="Times New Roman" w:hAnsi="Times New Roman"/>
          <w:noProof/>
          <w:sz w:val="24"/>
          <w:szCs w:val="24"/>
          <w:lang w:val="en-US" w:eastAsia="ru-RU"/>
        </w:rPr>
        <w:t>92</w:t>
      </w:r>
      <w:r w:rsidRPr="00B72EF6">
        <w:rPr>
          <w:rFonts w:ascii="Times New Roman" w:eastAsia="Times New Roman" w:hAnsi="Times New Roman"/>
          <w:noProof/>
          <w:sz w:val="24"/>
          <w:szCs w:val="24"/>
          <w:lang w:val="en-US" w:eastAsia="ru-RU"/>
        </w:rPr>
        <w:t>.</w:t>
      </w:r>
      <w:r w:rsidR="007D7B66">
        <w:rPr>
          <w:rFonts w:ascii="Times New Roman" w:eastAsia="Times New Roman" w:hAnsi="Times New Roman"/>
          <w:noProof/>
          <w:sz w:val="24"/>
          <w:szCs w:val="24"/>
          <w:lang w:val="en-US" w:eastAsia="ru-RU"/>
        </w:rPr>
        <w:t>4</w:t>
      </w:r>
      <w:r w:rsidRPr="00B72EF6">
        <w:rPr>
          <w:rFonts w:ascii="Times New Roman" w:eastAsia="Times New Roman" w:hAnsi="Times New Roman"/>
          <w:noProof/>
          <w:sz w:val="24"/>
          <w:szCs w:val="24"/>
          <w:lang w:val="en-US" w:eastAsia="ru-RU"/>
        </w:rPr>
        <w:t xml:space="preserve"> billion </w:t>
      </w:r>
      <w:r w:rsidR="007D7B66">
        <w:rPr>
          <w:rFonts w:ascii="Times New Roman" w:eastAsia="Times New Roman" w:hAnsi="Times New Roman"/>
          <w:noProof/>
          <w:sz w:val="24"/>
          <w:szCs w:val="24"/>
          <w:lang w:val="en-US" w:eastAsia="ru-RU"/>
        </w:rPr>
        <w:t>or 9</w:t>
      </w:r>
      <w:r w:rsidRPr="00B72EF6">
        <w:rPr>
          <w:rFonts w:ascii="Times New Roman" w:eastAsia="Times New Roman" w:hAnsi="Times New Roman"/>
          <w:noProof/>
          <w:sz w:val="24"/>
          <w:szCs w:val="24"/>
          <w:lang w:val="en-US" w:eastAsia="ru-RU"/>
        </w:rPr>
        <w:t>.</w:t>
      </w:r>
      <w:r w:rsidR="007D7B66">
        <w:rPr>
          <w:rFonts w:ascii="Times New Roman" w:eastAsia="Times New Roman" w:hAnsi="Times New Roman"/>
          <w:noProof/>
          <w:sz w:val="24"/>
          <w:szCs w:val="24"/>
          <w:lang w:val="en-US" w:eastAsia="ru-RU"/>
        </w:rPr>
        <w:t>1</w:t>
      </w:r>
      <w:r w:rsidRPr="00B72EF6">
        <w:rPr>
          <w:rFonts w:ascii="Times New Roman" w:eastAsia="Times New Roman" w:hAnsi="Times New Roman"/>
          <w:noProof/>
          <w:sz w:val="24"/>
          <w:szCs w:val="24"/>
          <w:lang w:val="en-US" w:eastAsia="ru-RU"/>
        </w:rPr>
        <w:t xml:space="preserve">% of the cumulative individuals’ deposits amount. </w:t>
      </w:r>
      <w:r w:rsidR="007D7B66">
        <w:rPr>
          <w:rFonts w:ascii="Times New Roman" w:eastAsia="Times New Roman" w:hAnsi="Times New Roman"/>
          <w:noProof/>
          <w:sz w:val="24"/>
          <w:szCs w:val="24"/>
          <w:lang w:val="en-US" w:eastAsia="ru-RU"/>
        </w:rPr>
        <w:t>In this category of deposits increase was mainly observed on deposits in foreign currency (+Т13.</w:t>
      </w:r>
      <w:r w:rsidR="007D7B66" w:rsidRPr="007D7B66">
        <w:rPr>
          <w:rFonts w:ascii="Times New Roman" w:eastAsia="Times New Roman" w:hAnsi="Times New Roman"/>
          <w:noProof/>
          <w:sz w:val="24"/>
          <w:szCs w:val="24"/>
          <w:lang w:val="en-US" w:eastAsia="ru-RU"/>
        </w:rPr>
        <w:t>1</w:t>
      </w:r>
      <w:r w:rsidR="007D7B66">
        <w:rPr>
          <w:rFonts w:ascii="Times New Roman" w:eastAsia="Times New Roman" w:hAnsi="Times New Roman"/>
          <w:noProof/>
          <w:sz w:val="24"/>
          <w:szCs w:val="24"/>
          <w:lang w:val="en-US" w:eastAsia="ru-RU"/>
        </w:rPr>
        <w:t xml:space="preserve"> billion).</w:t>
      </w:r>
    </w:p>
    <w:p w:rsidR="00764E97" w:rsidRDefault="001D57E0" w:rsidP="001B1FD7">
      <w:pPr>
        <w:spacing w:after="0"/>
        <w:ind w:firstLine="567"/>
        <w:jc w:val="both"/>
        <w:rPr>
          <w:rFonts w:ascii="Times New Roman" w:eastAsia="Times New Roman" w:hAnsi="Times New Roman"/>
          <w:noProof/>
          <w:sz w:val="24"/>
          <w:szCs w:val="24"/>
          <w:lang w:val="en-US" w:eastAsia="ru-RU"/>
        </w:rPr>
      </w:pPr>
      <w:r w:rsidRPr="00B72EF6">
        <w:rPr>
          <w:rFonts w:ascii="Times New Roman" w:eastAsia="Times New Roman" w:hAnsi="Times New Roman"/>
          <w:noProof/>
          <w:sz w:val="24"/>
          <w:szCs w:val="24"/>
          <w:lang w:val="en-US" w:eastAsia="ru-RU"/>
        </w:rPr>
        <w:t xml:space="preserve">The term and conditional deposits </w:t>
      </w:r>
      <w:r w:rsidR="00764E97" w:rsidRPr="001D57E0">
        <w:rPr>
          <w:rFonts w:ascii="Times New Roman" w:eastAsia="Times New Roman" w:hAnsi="Times New Roman"/>
          <w:b/>
          <w:i/>
          <w:noProof/>
          <w:sz w:val="24"/>
          <w:szCs w:val="24"/>
          <w:lang w:val="en-US" w:eastAsia="ru-RU"/>
        </w:rPr>
        <w:t xml:space="preserve">from </w:t>
      </w:r>
      <w:r w:rsidR="00764E97">
        <w:rPr>
          <w:rFonts w:ascii="Times New Roman" w:eastAsia="Times New Roman" w:hAnsi="Times New Roman"/>
          <w:b/>
          <w:i/>
          <w:noProof/>
          <w:sz w:val="24"/>
          <w:szCs w:val="24"/>
          <w:lang w:val="en-US" w:eastAsia="ru-RU"/>
        </w:rPr>
        <w:t>T10</w:t>
      </w:r>
      <w:r w:rsidR="00764E97" w:rsidRPr="001D57E0">
        <w:rPr>
          <w:rFonts w:ascii="Times New Roman" w:eastAsia="Times New Roman" w:hAnsi="Times New Roman"/>
          <w:b/>
          <w:i/>
          <w:noProof/>
          <w:sz w:val="24"/>
          <w:szCs w:val="24"/>
          <w:lang w:val="en-US" w:eastAsia="ru-RU"/>
        </w:rPr>
        <w:t xml:space="preserve"> to </w:t>
      </w:r>
      <w:r w:rsidR="00764E97">
        <w:rPr>
          <w:rFonts w:ascii="Times New Roman" w:eastAsia="Times New Roman" w:hAnsi="Times New Roman"/>
          <w:b/>
          <w:i/>
          <w:noProof/>
          <w:sz w:val="24"/>
          <w:szCs w:val="24"/>
          <w:lang w:val="en-US" w:eastAsia="ru-RU"/>
        </w:rPr>
        <w:t>T</w:t>
      </w:r>
      <w:r w:rsidR="00764E97" w:rsidRPr="001D57E0">
        <w:rPr>
          <w:rFonts w:ascii="Times New Roman" w:eastAsia="Times New Roman" w:hAnsi="Times New Roman"/>
          <w:b/>
          <w:i/>
          <w:noProof/>
          <w:sz w:val="24"/>
          <w:szCs w:val="24"/>
          <w:lang w:val="en-US" w:eastAsia="ru-RU"/>
        </w:rPr>
        <w:t>1</w:t>
      </w:r>
      <w:r w:rsidR="00764E97">
        <w:rPr>
          <w:rFonts w:ascii="Times New Roman" w:eastAsia="Times New Roman" w:hAnsi="Times New Roman"/>
          <w:b/>
          <w:i/>
          <w:noProof/>
          <w:sz w:val="24"/>
          <w:szCs w:val="24"/>
          <w:lang w:val="en-US" w:eastAsia="ru-RU"/>
        </w:rPr>
        <w:t>5</w:t>
      </w:r>
      <w:r w:rsidR="00764E97" w:rsidRPr="001D57E0">
        <w:rPr>
          <w:rFonts w:ascii="Times New Roman" w:eastAsia="Times New Roman" w:hAnsi="Times New Roman"/>
          <w:b/>
          <w:i/>
          <w:noProof/>
          <w:sz w:val="24"/>
          <w:szCs w:val="24"/>
          <w:lang w:val="en-US" w:eastAsia="ru-RU"/>
        </w:rPr>
        <w:t xml:space="preserve"> mln.</w:t>
      </w:r>
      <w:r w:rsidR="004D1868">
        <w:rPr>
          <w:rFonts w:ascii="Times New Roman" w:eastAsia="Times New Roman" w:hAnsi="Times New Roman"/>
          <w:b/>
          <w:i/>
          <w:noProof/>
          <w:sz w:val="24"/>
          <w:szCs w:val="24"/>
          <w:lang w:val="en-US" w:eastAsia="ru-RU"/>
        </w:rPr>
        <w:t xml:space="preserve"> </w:t>
      </w:r>
      <w:r w:rsidR="004D1868" w:rsidRPr="004D1868">
        <w:rPr>
          <w:rFonts w:ascii="Times New Roman" w:eastAsia="Times New Roman" w:hAnsi="Times New Roman"/>
          <w:noProof/>
          <w:sz w:val="24"/>
          <w:szCs w:val="24"/>
          <w:lang w:val="en-US" w:eastAsia="ru-RU"/>
        </w:rPr>
        <w:t xml:space="preserve">amounted </w:t>
      </w:r>
      <w:r w:rsidR="004D1868">
        <w:rPr>
          <w:rFonts w:ascii="Times New Roman" w:eastAsia="Times New Roman" w:hAnsi="Times New Roman"/>
          <w:noProof/>
          <w:sz w:val="24"/>
          <w:szCs w:val="24"/>
          <w:lang w:val="en-US" w:eastAsia="ru-RU"/>
        </w:rPr>
        <w:t>Т152.</w:t>
      </w:r>
      <w:r w:rsidR="004D1868" w:rsidRPr="004D1868">
        <w:rPr>
          <w:rFonts w:ascii="Times New Roman" w:eastAsia="Times New Roman" w:hAnsi="Times New Roman"/>
          <w:noProof/>
          <w:sz w:val="24"/>
          <w:szCs w:val="24"/>
          <w:lang w:val="en-US" w:eastAsia="ru-RU"/>
        </w:rPr>
        <w:t>4</w:t>
      </w:r>
      <w:r w:rsidR="004D1868">
        <w:rPr>
          <w:rFonts w:ascii="Times New Roman" w:eastAsia="Times New Roman" w:hAnsi="Times New Roman"/>
          <w:noProof/>
          <w:sz w:val="24"/>
          <w:szCs w:val="24"/>
          <w:lang w:val="en-US" w:eastAsia="ru-RU"/>
        </w:rPr>
        <w:t xml:space="preserve"> billion or 3.</w:t>
      </w:r>
      <w:r w:rsidR="004D1868" w:rsidRPr="004D1868">
        <w:rPr>
          <w:rFonts w:ascii="Times New Roman" w:eastAsia="Times New Roman" w:hAnsi="Times New Roman"/>
          <w:noProof/>
          <w:sz w:val="24"/>
          <w:szCs w:val="24"/>
          <w:lang w:val="en-US" w:eastAsia="ru-RU"/>
        </w:rPr>
        <w:t>5%</w:t>
      </w:r>
      <w:r w:rsidR="004D1868">
        <w:rPr>
          <w:rFonts w:ascii="Times New Roman" w:eastAsia="Times New Roman" w:hAnsi="Times New Roman"/>
          <w:noProof/>
          <w:sz w:val="24"/>
          <w:szCs w:val="24"/>
          <w:lang w:val="en-US" w:eastAsia="ru-RU"/>
        </w:rPr>
        <w:t xml:space="preserve"> </w:t>
      </w:r>
      <w:r w:rsidR="006A09C9">
        <w:rPr>
          <w:rFonts w:ascii="Times New Roman" w:eastAsia="Times New Roman" w:hAnsi="Times New Roman"/>
          <w:noProof/>
          <w:sz w:val="24"/>
          <w:szCs w:val="24"/>
          <w:lang w:val="en-US" w:eastAsia="ru-RU"/>
        </w:rPr>
        <w:t xml:space="preserve">of the cumulative individuals’ </w:t>
      </w:r>
      <w:r w:rsidR="004D1868" w:rsidRPr="00B72EF6">
        <w:rPr>
          <w:rFonts w:ascii="Times New Roman" w:eastAsia="Times New Roman" w:hAnsi="Times New Roman"/>
          <w:noProof/>
          <w:sz w:val="24"/>
          <w:szCs w:val="24"/>
          <w:lang w:val="en-US" w:eastAsia="ru-RU"/>
        </w:rPr>
        <w:t>deposits</w:t>
      </w:r>
      <w:r w:rsidR="006A09C9">
        <w:rPr>
          <w:rFonts w:ascii="Times New Roman" w:eastAsia="Times New Roman" w:hAnsi="Times New Roman"/>
          <w:noProof/>
          <w:sz w:val="24"/>
          <w:szCs w:val="24"/>
          <w:lang w:val="en-US" w:eastAsia="ru-RU"/>
        </w:rPr>
        <w:t xml:space="preserve"> </w:t>
      </w:r>
      <w:r w:rsidR="006A09C9" w:rsidRPr="00B72EF6">
        <w:rPr>
          <w:rFonts w:ascii="Times New Roman" w:eastAsia="Times New Roman" w:hAnsi="Times New Roman"/>
          <w:noProof/>
          <w:sz w:val="24"/>
          <w:szCs w:val="24"/>
          <w:lang w:val="en-US" w:eastAsia="ru-RU"/>
        </w:rPr>
        <w:t>portfolio</w:t>
      </w:r>
      <w:r w:rsidR="004D1868">
        <w:rPr>
          <w:rFonts w:ascii="Times New Roman" w:eastAsia="Times New Roman" w:hAnsi="Times New Roman"/>
          <w:noProof/>
          <w:sz w:val="24"/>
          <w:szCs w:val="24"/>
          <w:lang w:val="en-US" w:eastAsia="ru-RU"/>
        </w:rPr>
        <w:t xml:space="preserve">. </w:t>
      </w:r>
      <w:r w:rsidR="004D1868" w:rsidRPr="004D1868">
        <w:rPr>
          <w:rFonts w:ascii="Times New Roman" w:eastAsia="Times New Roman" w:hAnsi="Times New Roman"/>
          <w:noProof/>
          <w:sz w:val="24"/>
          <w:szCs w:val="24"/>
          <w:lang w:val="en-US" w:eastAsia="ru-RU"/>
        </w:rPr>
        <w:t xml:space="preserve">The growth </w:t>
      </w:r>
      <w:r w:rsidR="004D1868">
        <w:rPr>
          <w:rFonts w:ascii="Times New Roman" w:eastAsia="Times New Roman" w:hAnsi="Times New Roman"/>
          <w:noProof/>
          <w:sz w:val="24"/>
          <w:szCs w:val="24"/>
          <w:lang w:val="en-US" w:eastAsia="ru-RU"/>
        </w:rPr>
        <w:t xml:space="preserve">of these </w:t>
      </w:r>
      <w:r w:rsidR="004D1868" w:rsidRPr="004D1868">
        <w:rPr>
          <w:rFonts w:ascii="Times New Roman" w:eastAsia="Times New Roman" w:hAnsi="Times New Roman"/>
          <w:noProof/>
          <w:sz w:val="24"/>
          <w:szCs w:val="24"/>
          <w:lang w:val="en-US" w:eastAsia="ru-RU"/>
        </w:rPr>
        <w:t>deposits is</w:t>
      </w:r>
      <w:r w:rsidR="004D1868">
        <w:rPr>
          <w:rFonts w:ascii="Times New Roman" w:eastAsia="Times New Roman" w:hAnsi="Times New Roman"/>
          <w:noProof/>
          <w:sz w:val="24"/>
          <w:szCs w:val="24"/>
          <w:lang w:val="en-US" w:eastAsia="ru-RU"/>
        </w:rPr>
        <w:t xml:space="preserve"> negligible, which was only T0.6 billion </w:t>
      </w:r>
      <w:r w:rsidR="004D1868" w:rsidRPr="004D1868">
        <w:rPr>
          <w:rFonts w:ascii="Times New Roman" w:eastAsia="Times New Roman" w:hAnsi="Times New Roman"/>
          <w:noProof/>
          <w:sz w:val="24"/>
          <w:szCs w:val="24"/>
          <w:lang w:val="en-US" w:eastAsia="ru-RU"/>
        </w:rPr>
        <w:t>due</w:t>
      </w:r>
      <w:r w:rsidR="004D1868">
        <w:rPr>
          <w:rFonts w:ascii="Times New Roman" w:eastAsia="Times New Roman" w:hAnsi="Times New Roman"/>
          <w:noProof/>
          <w:sz w:val="24"/>
          <w:szCs w:val="24"/>
          <w:lang w:val="en-US" w:eastAsia="ru-RU"/>
        </w:rPr>
        <w:t xml:space="preserve"> to an increase</w:t>
      </w:r>
      <w:r w:rsidR="004D1868" w:rsidRPr="004D1868">
        <w:rPr>
          <w:rFonts w:ascii="Times New Roman" w:eastAsia="Times New Roman" w:hAnsi="Times New Roman"/>
          <w:noProof/>
          <w:sz w:val="24"/>
          <w:szCs w:val="24"/>
          <w:lang w:val="en-US" w:eastAsia="ru-RU"/>
        </w:rPr>
        <w:t xml:space="preserve"> of deposits in the national currency.</w:t>
      </w:r>
    </w:p>
    <w:p w:rsidR="001D57E0" w:rsidRPr="006A09C9" w:rsidRDefault="006A09C9" w:rsidP="006A09C9">
      <w:pPr>
        <w:spacing w:after="0"/>
        <w:ind w:firstLine="567"/>
        <w:jc w:val="both"/>
        <w:rPr>
          <w:rFonts w:ascii="Times New Roman" w:eastAsia="Times New Roman" w:hAnsi="Times New Roman"/>
          <w:noProof/>
          <w:sz w:val="24"/>
          <w:szCs w:val="24"/>
          <w:lang w:val="en-US" w:eastAsia="ru-RU"/>
        </w:rPr>
      </w:pPr>
      <w:r>
        <w:rPr>
          <w:rFonts w:ascii="Times New Roman" w:eastAsia="Times New Roman" w:hAnsi="Times New Roman"/>
          <w:sz w:val="24"/>
          <w:szCs w:val="24"/>
          <w:lang w:val="en-US" w:eastAsia="ru-RU"/>
        </w:rPr>
        <w:t xml:space="preserve">46.5% </w:t>
      </w:r>
      <w:r w:rsidRPr="00A31139">
        <w:rPr>
          <w:rFonts w:ascii="Times New Roman" w:eastAsia="Times New Roman" w:hAnsi="Times New Roman"/>
          <w:sz w:val="24"/>
          <w:szCs w:val="24"/>
          <w:lang w:val="en-US" w:eastAsia="ru-RU"/>
        </w:rPr>
        <w:t>of aggregate retail deposits</w:t>
      </w:r>
      <w:r>
        <w:rPr>
          <w:rFonts w:ascii="Times New Roman" w:eastAsia="Times New Roman" w:hAnsi="Times New Roman"/>
          <w:sz w:val="24"/>
          <w:szCs w:val="24"/>
          <w:lang w:val="en-US" w:eastAsia="ru-RU"/>
        </w:rPr>
        <w:t xml:space="preserve"> </w:t>
      </w:r>
      <w:r>
        <w:rPr>
          <w:rFonts w:ascii="Times New Roman" w:eastAsia="Times New Roman" w:hAnsi="Times New Roman"/>
          <w:noProof/>
          <w:sz w:val="24"/>
          <w:szCs w:val="24"/>
          <w:lang w:val="en-US" w:eastAsia="ru-RU"/>
        </w:rPr>
        <w:t xml:space="preserve">represented by the </w:t>
      </w:r>
      <w:r w:rsidRPr="00B72EF6">
        <w:rPr>
          <w:rFonts w:ascii="Times New Roman" w:eastAsia="Times New Roman" w:hAnsi="Times New Roman"/>
          <w:noProof/>
          <w:sz w:val="24"/>
          <w:szCs w:val="24"/>
          <w:lang w:val="en-US" w:eastAsia="ru-RU"/>
        </w:rPr>
        <w:t xml:space="preserve">term and conditional deposits </w:t>
      </w:r>
      <w:r w:rsidR="001D57E0" w:rsidRPr="006A09C9">
        <w:rPr>
          <w:rFonts w:ascii="Times New Roman" w:eastAsia="Times New Roman" w:hAnsi="Times New Roman"/>
          <w:b/>
          <w:i/>
          <w:noProof/>
          <w:sz w:val="24"/>
          <w:szCs w:val="24"/>
          <w:lang w:val="en-US" w:eastAsia="ru-RU"/>
        </w:rPr>
        <w:t xml:space="preserve">over </w:t>
      </w:r>
      <w:r w:rsidRPr="006A09C9">
        <w:rPr>
          <w:rFonts w:ascii="Times New Roman" w:eastAsia="Times New Roman" w:hAnsi="Times New Roman"/>
          <w:b/>
          <w:i/>
          <w:noProof/>
          <w:sz w:val="24"/>
          <w:szCs w:val="24"/>
          <w:lang w:val="en-US" w:eastAsia="ru-RU"/>
        </w:rPr>
        <w:t>T15 mln.</w:t>
      </w:r>
      <w:r>
        <w:rPr>
          <w:rFonts w:ascii="Times New Roman" w:eastAsia="Times New Roman" w:hAnsi="Times New Roman"/>
          <w:noProof/>
          <w:sz w:val="24"/>
          <w:szCs w:val="24"/>
          <w:lang w:val="en-US" w:eastAsia="ru-RU"/>
        </w:rPr>
        <w:t xml:space="preserve"> Total outflow in these amount of deposits </w:t>
      </w:r>
      <w:r w:rsidR="0041651E">
        <w:rPr>
          <w:rFonts w:ascii="Times New Roman" w:eastAsia="Times New Roman" w:hAnsi="Times New Roman"/>
          <w:noProof/>
          <w:sz w:val="24"/>
          <w:szCs w:val="24"/>
          <w:lang w:val="en-US" w:eastAsia="ru-RU"/>
        </w:rPr>
        <w:t xml:space="preserve">was </w:t>
      </w:r>
      <w:r>
        <w:rPr>
          <w:rFonts w:ascii="Times New Roman" w:eastAsia="Times New Roman" w:hAnsi="Times New Roman"/>
          <w:noProof/>
          <w:sz w:val="24"/>
          <w:szCs w:val="24"/>
          <w:lang w:val="en-US" w:eastAsia="ru-RU"/>
        </w:rPr>
        <w:t>T124</w:t>
      </w:r>
      <w:r w:rsidR="001D57E0" w:rsidRPr="00B72EF6">
        <w:rPr>
          <w:rFonts w:ascii="Times New Roman" w:eastAsia="Times New Roman" w:hAnsi="Times New Roman"/>
          <w:noProof/>
          <w:sz w:val="24"/>
          <w:szCs w:val="24"/>
          <w:lang w:val="en-US" w:eastAsia="ru-RU"/>
        </w:rPr>
        <w:t>.</w:t>
      </w:r>
      <w:r>
        <w:rPr>
          <w:rFonts w:ascii="Times New Roman" w:eastAsia="Times New Roman" w:hAnsi="Times New Roman"/>
          <w:noProof/>
          <w:sz w:val="24"/>
          <w:szCs w:val="24"/>
          <w:lang w:val="en-US" w:eastAsia="ru-RU"/>
        </w:rPr>
        <w:t xml:space="preserve">3 trillion, which was due to withdraw of deposits in foreign currency </w:t>
      </w:r>
      <w:r w:rsidR="0041651E">
        <w:rPr>
          <w:rFonts w:ascii="Times New Roman" w:eastAsia="Times New Roman" w:hAnsi="Times New Roman"/>
          <w:noProof/>
          <w:sz w:val="24"/>
          <w:szCs w:val="24"/>
          <w:lang w:val="en-US" w:eastAsia="ru-RU"/>
        </w:rPr>
        <w:t xml:space="preserve">by T129.3 billion </w:t>
      </w:r>
      <w:r>
        <w:rPr>
          <w:rFonts w:ascii="Times New Roman" w:eastAsia="Times New Roman" w:hAnsi="Times New Roman"/>
          <w:noProof/>
          <w:sz w:val="24"/>
          <w:szCs w:val="24"/>
          <w:lang w:val="en-US" w:eastAsia="ru-RU"/>
        </w:rPr>
        <w:t xml:space="preserve">and placement </w:t>
      </w:r>
      <w:r w:rsidR="0041651E">
        <w:rPr>
          <w:rFonts w:ascii="Times New Roman" w:eastAsia="Times New Roman" w:hAnsi="Times New Roman"/>
          <w:noProof/>
          <w:sz w:val="24"/>
          <w:szCs w:val="24"/>
          <w:lang w:val="en-US" w:eastAsia="ru-RU"/>
        </w:rPr>
        <w:t>of depo</w:t>
      </w:r>
      <w:r w:rsidR="00C65F81">
        <w:rPr>
          <w:rFonts w:ascii="Times New Roman" w:eastAsia="Times New Roman" w:hAnsi="Times New Roman"/>
          <w:noProof/>
          <w:sz w:val="24"/>
          <w:szCs w:val="24"/>
          <w:lang w:val="en-US" w:eastAsia="ru-RU"/>
        </w:rPr>
        <w:t>s</w:t>
      </w:r>
      <w:r w:rsidR="0041651E">
        <w:rPr>
          <w:rFonts w:ascii="Times New Roman" w:eastAsia="Times New Roman" w:hAnsi="Times New Roman"/>
          <w:noProof/>
          <w:sz w:val="24"/>
          <w:szCs w:val="24"/>
          <w:lang w:val="en-US" w:eastAsia="ru-RU"/>
        </w:rPr>
        <w:t xml:space="preserve">its </w:t>
      </w:r>
      <w:r>
        <w:rPr>
          <w:rFonts w:ascii="Times New Roman" w:eastAsia="Times New Roman" w:hAnsi="Times New Roman"/>
          <w:noProof/>
          <w:sz w:val="24"/>
          <w:szCs w:val="24"/>
          <w:lang w:val="en-US" w:eastAsia="ru-RU"/>
        </w:rPr>
        <w:t>in national currency by T5.0 billion at the same time.</w:t>
      </w:r>
    </w:p>
    <w:p w:rsidR="00246744" w:rsidRPr="00246744" w:rsidRDefault="00246744" w:rsidP="00246744">
      <w:pPr>
        <w:spacing w:after="0"/>
        <w:ind w:firstLine="567"/>
        <w:jc w:val="both"/>
        <w:rPr>
          <w:rFonts w:ascii="Times New Roman" w:eastAsia="Times New Roman" w:hAnsi="Times New Roman"/>
          <w:noProof/>
          <w:sz w:val="24"/>
          <w:szCs w:val="24"/>
          <w:lang w:val="en-US" w:eastAsia="ru-RU"/>
        </w:rPr>
      </w:pPr>
      <w:r w:rsidRPr="00246744">
        <w:rPr>
          <w:rFonts w:ascii="Times New Roman" w:eastAsia="Times New Roman" w:hAnsi="Times New Roman"/>
          <w:b/>
          <w:i/>
          <w:noProof/>
          <w:sz w:val="24"/>
          <w:szCs w:val="24"/>
          <w:lang w:val="en-US" w:eastAsia="ru-RU"/>
        </w:rPr>
        <w:t>Call deposits</w:t>
      </w:r>
      <w:r w:rsidRPr="00B72EF6">
        <w:rPr>
          <w:rFonts w:ascii="Times New Roman" w:eastAsia="Times New Roman" w:hAnsi="Times New Roman"/>
          <w:noProof/>
          <w:sz w:val="24"/>
          <w:szCs w:val="24"/>
          <w:lang w:val="en-US" w:eastAsia="ru-RU"/>
        </w:rPr>
        <w:t xml:space="preserve"> of individuals </w:t>
      </w:r>
      <w:r w:rsidR="00FF7BDF" w:rsidRPr="00B72EF6">
        <w:rPr>
          <w:rFonts w:ascii="Times New Roman" w:eastAsia="Times New Roman" w:hAnsi="Times New Roman"/>
          <w:noProof/>
          <w:sz w:val="24"/>
          <w:szCs w:val="24"/>
          <w:lang w:val="en-US" w:eastAsia="ru-RU"/>
        </w:rPr>
        <w:t>c</w:t>
      </w:r>
      <w:r w:rsidR="00FF7BDF">
        <w:rPr>
          <w:rFonts w:ascii="Times New Roman" w:eastAsia="Times New Roman" w:hAnsi="Times New Roman"/>
          <w:noProof/>
          <w:sz w:val="24"/>
          <w:szCs w:val="24"/>
          <w:lang w:val="en-US" w:eastAsia="ru-RU"/>
        </w:rPr>
        <w:t xml:space="preserve">omposing </w:t>
      </w:r>
      <w:r w:rsidR="00FF7BDF" w:rsidRPr="00B72EF6">
        <w:rPr>
          <w:rFonts w:ascii="Times New Roman" w:eastAsia="Times New Roman" w:hAnsi="Times New Roman"/>
          <w:noProof/>
          <w:sz w:val="24"/>
          <w:szCs w:val="24"/>
          <w:lang w:val="en-US" w:eastAsia="ru-RU"/>
        </w:rPr>
        <w:t>0.</w:t>
      </w:r>
      <w:r w:rsidR="00FF7BDF">
        <w:rPr>
          <w:rFonts w:ascii="Times New Roman" w:eastAsia="Times New Roman" w:hAnsi="Times New Roman"/>
          <w:noProof/>
          <w:sz w:val="24"/>
          <w:szCs w:val="24"/>
          <w:lang w:val="en-US" w:eastAsia="ru-RU"/>
        </w:rPr>
        <w:t>3</w:t>
      </w:r>
      <w:r w:rsidR="00FF7BDF" w:rsidRPr="00B72EF6">
        <w:rPr>
          <w:rFonts w:ascii="Times New Roman" w:eastAsia="Times New Roman" w:hAnsi="Times New Roman"/>
          <w:noProof/>
          <w:sz w:val="24"/>
          <w:szCs w:val="24"/>
          <w:lang w:val="en-US" w:eastAsia="ru-RU"/>
        </w:rPr>
        <w:t xml:space="preserve">% of the </w:t>
      </w:r>
      <w:r w:rsidR="00FF7BDF">
        <w:rPr>
          <w:rFonts w:ascii="Times New Roman" w:eastAsia="Times New Roman" w:hAnsi="Times New Roman"/>
          <w:noProof/>
          <w:sz w:val="24"/>
          <w:szCs w:val="24"/>
          <w:lang w:val="en-US" w:eastAsia="ru-RU"/>
        </w:rPr>
        <w:t xml:space="preserve">retail </w:t>
      </w:r>
      <w:r w:rsidR="00FF7BDF" w:rsidRPr="00B72EF6">
        <w:rPr>
          <w:rFonts w:ascii="Times New Roman" w:eastAsia="Times New Roman" w:hAnsi="Times New Roman"/>
          <w:noProof/>
          <w:sz w:val="24"/>
          <w:szCs w:val="24"/>
          <w:lang w:val="en-US" w:eastAsia="ru-RU"/>
        </w:rPr>
        <w:t xml:space="preserve">deposits portfolio </w:t>
      </w:r>
      <w:r w:rsidRPr="00B72EF6">
        <w:rPr>
          <w:rFonts w:ascii="Times New Roman" w:eastAsia="Times New Roman" w:hAnsi="Times New Roman"/>
          <w:noProof/>
          <w:sz w:val="24"/>
          <w:szCs w:val="24"/>
          <w:lang w:val="en-US" w:eastAsia="ru-RU"/>
        </w:rPr>
        <w:t xml:space="preserve">have decreased by </w:t>
      </w:r>
      <w:r w:rsidR="00FF7BDF">
        <w:rPr>
          <w:rFonts w:ascii="Times New Roman" w:eastAsia="Times New Roman" w:hAnsi="Times New Roman"/>
          <w:noProof/>
          <w:sz w:val="24"/>
          <w:szCs w:val="24"/>
          <w:lang w:val="en-US" w:eastAsia="ru-RU"/>
        </w:rPr>
        <w:t>T5.7 billion (-</w:t>
      </w:r>
      <w:r>
        <w:rPr>
          <w:rFonts w:ascii="Times New Roman" w:eastAsia="Times New Roman" w:hAnsi="Times New Roman"/>
          <w:noProof/>
          <w:sz w:val="24"/>
          <w:szCs w:val="24"/>
          <w:lang w:val="en-US" w:eastAsia="ru-RU"/>
        </w:rPr>
        <w:t>29</w:t>
      </w:r>
      <w:r w:rsidRPr="00B72EF6">
        <w:rPr>
          <w:rFonts w:ascii="Times New Roman" w:eastAsia="Times New Roman" w:hAnsi="Times New Roman"/>
          <w:noProof/>
          <w:sz w:val="24"/>
          <w:szCs w:val="24"/>
          <w:lang w:val="en-US" w:eastAsia="ru-RU"/>
        </w:rPr>
        <w:t>.</w:t>
      </w:r>
      <w:r>
        <w:rPr>
          <w:rFonts w:ascii="Times New Roman" w:eastAsia="Times New Roman" w:hAnsi="Times New Roman"/>
          <w:noProof/>
          <w:sz w:val="24"/>
          <w:szCs w:val="24"/>
          <w:lang w:val="en-US" w:eastAsia="ru-RU"/>
        </w:rPr>
        <w:t>2</w:t>
      </w:r>
      <w:r w:rsidRPr="00B72EF6">
        <w:rPr>
          <w:rFonts w:ascii="Times New Roman" w:eastAsia="Times New Roman" w:hAnsi="Times New Roman"/>
          <w:noProof/>
          <w:sz w:val="24"/>
          <w:szCs w:val="24"/>
          <w:lang w:val="en-US" w:eastAsia="ru-RU"/>
        </w:rPr>
        <w:t>%</w:t>
      </w:r>
      <w:r w:rsidR="00FF7BDF">
        <w:rPr>
          <w:rFonts w:ascii="Times New Roman" w:eastAsia="Times New Roman" w:hAnsi="Times New Roman"/>
          <w:noProof/>
          <w:sz w:val="24"/>
          <w:szCs w:val="24"/>
          <w:lang w:val="en-US" w:eastAsia="ru-RU"/>
        </w:rPr>
        <w:t xml:space="preserve">). </w:t>
      </w:r>
      <w:r w:rsidR="00FF7BDF" w:rsidRPr="00FF7BDF">
        <w:rPr>
          <w:rFonts w:ascii="Times New Roman" w:eastAsia="Times New Roman" w:hAnsi="Times New Roman"/>
          <w:noProof/>
          <w:sz w:val="24"/>
          <w:szCs w:val="24"/>
          <w:lang w:val="en-US" w:eastAsia="ru-RU"/>
        </w:rPr>
        <w:t>This change was due to the decline of deposits in na</w:t>
      </w:r>
      <w:r w:rsidR="00FF7BDF">
        <w:rPr>
          <w:rFonts w:ascii="Times New Roman" w:eastAsia="Times New Roman" w:hAnsi="Times New Roman"/>
          <w:noProof/>
          <w:sz w:val="24"/>
          <w:szCs w:val="24"/>
          <w:lang w:val="en-US" w:eastAsia="ru-RU"/>
        </w:rPr>
        <w:t>tional currency by T4.9 billion a</w:t>
      </w:r>
      <w:r w:rsidR="00FF7BDF" w:rsidRPr="00FF7BDF">
        <w:rPr>
          <w:rFonts w:ascii="Times New Roman" w:eastAsia="Times New Roman" w:hAnsi="Times New Roman"/>
          <w:noProof/>
          <w:sz w:val="24"/>
          <w:szCs w:val="24"/>
          <w:lang w:val="en-US" w:eastAsia="ru-RU"/>
        </w:rPr>
        <w:t xml:space="preserve">nd </w:t>
      </w:r>
      <w:r w:rsidR="00FF7BDF">
        <w:rPr>
          <w:rFonts w:ascii="Times New Roman" w:eastAsia="Times New Roman" w:hAnsi="Times New Roman"/>
          <w:noProof/>
          <w:sz w:val="24"/>
          <w:szCs w:val="24"/>
          <w:lang w:val="en-US" w:eastAsia="ru-RU"/>
        </w:rPr>
        <w:t xml:space="preserve">of </w:t>
      </w:r>
      <w:r w:rsidR="00FF7BDF" w:rsidRPr="00FF7BDF">
        <w:rPr>
          <w:rFonts w:ascii="Times New Roman" w:eastAsia="Times New Roman" w:hAnsi="Times New Roman"/>
          <w:noProof/>
          <w:sz w:val="24"/>
          <w:szCs w:val="24"/>
          <w:lang w:val="en-US" w:eastAsia="ru-RU"/>
        </w:rPr>
        <w:t xml:space="preserve">deposits in foreign currency </w:t>
      </w:r>
      <w:r w:rsidR="00FF7BDF">
        <w:rPr>
          <w:rFonts w:ascii="Times New Roman" w:eastAsia="Times New Roman" w:hAnsi="Times New Roman"/>
          <w:noProof/>
          <w:sz w:val="24"/>
          <w:szCs w:val="24"/>
          <w:lang w:val="en-US" w:eastAsia="ru-RU"/>
        </w:rPr>
        <w:t>by T0.</w:t>
      </w:r>
      <w:r w:rsidR="00FF7BDF" w:rsidRPr="00FF7BDF">
        <w:rPr>
          <w:rFonts w:ascii="Times New Roman" w:eastAsia="Times New Roman" w:hAnsi="Times New Roman"/>
          <w:noProof/>
          <w:sz w:val="24"/>
          <w:szCs w:val="24"/>
          <w:lang w:val="en-US" w:eastAsia="ru-RU"/>
        </w:rPr>
        <w:t>8 billion</w:t>
      </w:r>
      <w:r w:rsidR="00FF7BDF">
        <w:rPr>
          <w:rFonts w:ascii="Times New Roman" w:eastAsia="Times New Roman" w:hAnsi="Times New Roman"/>
          <w:noProof/>
          <w:sz w:val="24"/>
          <w:szCs w:val="24"/>
          <w:lang w:val="en-US" w:eastAsia="ru-RU"/>
        </w:rPr>
        <w:t>.</w:t>
      </w:r>
      <w:r w:rsidR="00F76D54">
        <w:rPr>
          <w:rFonts w:ascii="Times New Roman" w:eastAsia="Times New Roman" w:hAnsi="Times New Roman"/>
          <w:noProof/>
          <w:sz w:val="24"/>
          <w:szCs w:val="24"/>
          <w:lang w:val="en-US" w:eastAsia="ru-RU"/>
        </w:rPr>
        <w:t xml:space="preserve"> </w:t>
      </w:r>
    </w:p>
    <w:p w:rsidR="001B1FD7" w:rsidRPr="00D52CA6" w:rsidRDefault="00F76D54" w:rsidP="00D52CA6">
      <w:pPr>
        <w:spacing w:after="0"/>
        <w:ind w:firstLine="567"/>
        <w:jc w:val="both"/>
        <w:rPr>
          <w:rFonts w:ascii="Times New Roman" w:eastAsia="Times New Roman" w:hAnsi="Times New Roman"/>
          <w:noProof/>
          <w:sz w:val="24"/>
          <w:szCs w:val="24"/>
          <w:lang w:val="en-US" w:eastAsia="ru-RU"/>
        </w:rPr>
      </w:pPr>
      <w:r w:rsidRPr="00F76D54">
        <w:rPr>
          <w:rFonts w:ascii="Times New Roman" w:eastAsia="Times New Roman" w:hAnsi="Times New Roman"/>
          <w:noProof/>
          <w:sz w:val="24"/>
          <w:szCs w:val="24"/>
          <w:lang w:val="en-US" w:eastAsia="ru-RU"/>
        </w:rPr>
        <w:t>In the</w:t>
      </w:r>
      <w:r>
        <w:rPr>
          <w:rFonts w:ascii="Times New Roman" w:eastAsia="Times New Roman" w:hAnsi="Times New Roman"/>
          <w:b/>
          <w:i/>
          <w:noProof/>
          <w:sz w:val="24"/>
          <w:szCs w:val="24"/>
          <w:lang w:val="en-US" w:eastAsia="ru-RU"/>
        </w:rPr>
        <w:t xml:space="preserve"> c</w:t>
      </w:r>
      <w:r w:rsidR="00B72EF6" w:rsidRPr="00246744">
        <w:rPr>
          <w:rFonts w:ascii="Times New Roman" w:eastAsia="Times New Roman" w:hAnsi="Times New Roman"/>
          <w:b/>
          <w:i/>
          <w:noProof/>
          <w:sz w:val="24"/>
          <w:szCs w:val="24"/>
          <w:lang w:val="en-US" w:eastAsia="ru-RU"/>
        </w:rPr>
        <w:t>urrent and card account balances</w:t>
      </w:r>
      <w:r>
        <w:rPr>
          <w:rFonts w:ascii="Times New Roman" w:eastAsia="Times New Roman" w:hAnsi="Times New Roman"/>
          <w:noProof/>
          <w:sz w:val="24"/>
          <w:szCs w:val="24"/>
          <w:lang w:val="en-US" w:eastAsia="ru-RU"/>
        </w:rPr>
        <w:t xml:space="preserve"> </w:t>
      </w:r>
      <w:r w:rsidR="00C65F81">
        <w:rPr>
          <w:rFonts w:ascii="Times New Roman" w:eastAsia="Times New Roman" w:hAnsi="Times New Roman"/>
          <w:noProof/>
          <w:sz w:val="24"/>
          <w:szCs w:val="24"/>
          <w:lang w:val="en-US" w:eastAsia="ru-RU"/>
        </w:rPr>
        <w:t>was also a negative change at Т21.1 billion</w:t>
      </w:r>
      <w:r w:rsidR="000C3A90">
        <w:rPr>
          <w:rFonts w:ascii="Times New Roman" w:eastAsia="Times New Roman" w:hAnsi="Times New Roman"/>
          <w:noProof/>
          <w:sz w:val="24"/>
          <w:szCs w:val="24"/>
          <w:lang w:val="en-US" w:eastAsia="ru-RU"/>
        </w:rPr>
        <w:t xml:space="preserve"> (-4.</w:t>
      </w:r>
      <w:r w:rsidR="00C65F81" w:rsidRPr="00C65F81">
        <w:rPr>
          <w:rFonts w:ascii="Times New Roman" w:eastAsia="Times New Roman" w:hAnsi="Times New Roman"/>
          <w:noProof/>
          <w:sz w:val="24"/>
          <w:szCs w:val="24"/>
          <w:lang w:val="en-US" w:eastAsia="ru-RU"/>
        </w:rPr>
        <w:t>6%)</w:t>
      </w:r>
      <w:r w:rsidR="00C65F81">
        <w:rPr>
          <w:rFonts w:ascii="Times New Roman" w:eastAsia="Times New Roman" w:hAnsi="Times New Roman"/>
          <w:noProof/>
          <w:sz w:val="24"/>
          <w:szCs w:val="24"/>
          <w:lang w:val="en-US" w:eastAsia="ru-RU"/>
        </w:rPr>
        <w:t>.</w:t>
      </w:r>
      <w:r w:rsidR="000C3A90">
        <w:rPr>
          <w:rFonts w:ascii="Times New Roman" w:eastAsia="Times New Roman" w:hAnsi="Times New Roman"/>
          <w:noProof/>
          <w:sz w:val="24"/>
          <w:szCs w:val="24"/>
          <w:lang w:val="en-US" w:eastAsia="ru-RU"/>
        </w:rPr>
        <w:t xml:space="preserve"> In addition,  it should be noted</w:t>
      </w:r>
      <w:r w:rsidR="000C3A90" w:rsidRPr="000C3A90">
        <w:rPr>
          <w:rFonts w:ascii="Times New Roman" w:eastAsia="Times New Roman" w:hAnsi="Times New Roman"/>
          <w:noProof/>
          <w:sz w:val="24"/>
          <w:szCs w:val="24"/>
          <w:lang w:val="en-US" w:eastAsia="ru-RU"/>
        </w:rPr>
        <w:t xml:space="preserve"> that the account balances in fo</w:t>
      </w:r>
      <w:r w:rsidR="000C3A90">
        <w:rPr>
          <w:rFonts w:ascii="Times New Roman" w:eastAsia="Times New Roman" w:hAnsi="Times New Roman"/>
          <w:noProof/>
          <w:sz w:val="24"/>
          <w:szCs w:val="24"/>
          <w:lang w:val="en-US" w:eastAsia="ru-RU"/>
        </w:rPr>
        <w:t>reign currency increased by T28.4 billion</w:t>
      </w:r>
      <w:r w:rsidR="000C3A90" w:rsidRPr="000C3A90">
        <w:rPr>
          <w:rFonts w:ascii="Times New Roman" w:eastAsia="Times New Roman" w:hAnsi="Times New Roman"/>
          <w:noProof/>
          <w:sz w:val="24"/>
          <w:szCs w:val="24"/>
          <w:lang w:val="en-US" w:eastAsia="ru-RU"/>
        </w:rPr>
        <w:t xml:space="preserve">, </w:t>
      </w:r>
      <w:r w:rsidR="000C3A90">
        <w:rPr>
          <w:rFonts w:ascii="Times New Roman" w:eastAsia="Times New Roman" w:hAnsi="Times New Roman"/>
          <w:noProof/>
          <w:sz w:val="24"/>
          <w:szCs w:val="24"/>
          <w:lang w:val="en-US" w:eastAsia="ru-RU"/>
        </w:rPr>
        <w:t xml:space="preserve">while </w:t>
      </w:r>
      <w:r w:rsidR="000C3A90" w:rsidRPr="000C3A90">
        <w:rPr>
          <w:rFonts w:ascii="Times New Roman" w:eastAsia="Times New Roman" w:hAnsi="Times New Roman"/>
          <w:noProof/>
          <w:sz w:val="24"/>
          <w:szCs w:val="24"/>
          <w:lang w:val="en-US" w:eastAsia="ru-RU"/>
        </w:rPr>
        <w:t xml:space="preserve">in the national currency reduced </w:t>
      </w:r>
      <w:r w:rsidR="000C3A90">
        <w:rPr>
          <w:rFonts w:ascii="Times New Roman" w:eastAsia="Times New Roman" w:hAnsi="Times New Roman"/>
          <w:noProof/>
          <w:sz w:val="24"/>
          <w:szCs w:val="24"/>
          <w:lang w:val="en-US" w:eastAsia="ru-RU"/>
        </w:rPr>
        <w:t xml:space="preserve">by </w:t>
      </w:r>
      <w:r w:rsidR="000C3A90" w:rsidRPr="000C3A90">
        <w:rPr>
          <w:rFonts w:ascii="Times New Roman" w:eastAsia="Times New Roman" w:hAnsi="Times New Roman"/>
          <w:noProof/>
          <w:sz w:val="24"/>
          <w:szCs w:val="24"/>
          <w:lang w:val="en-US" w:eastAsia="ru-RU"/>
        </w:rPr>
        <w:t>T49</w:t>
      </w:r>
      <w:r w:rsidR="000C3A90">
        <w:rPr>
          <w:rFonts w:ascii="Times New Roman" w:eastAsia="Times New Roman" w:hAnsi="Times New Roman"/>
          <w:noProof/>
          <w:sz w:val="24"/>
          <w:szCs w:val="24"/>
          <w:lang w:val="en-US" w:eastAsia="ru-RU"/>
        </w:rPr>
        <w:t>.</w:t>
      </w:r>
      <w:r w:rsidR="000C3A90" w:rsidRPr="000C3A90">
        <w:rPr>
          <w:rFonts w:ascii="Times New Roman" w:eastAsia="Times New Roman" w:hAnsi="Times New Roman"/>
          <w:noProof/>
          <w:sz w:val="24"/>
          <w:szCs w:val="24"/>
          <w:lang w:val="en-US" w:eastAsia="ru-RU"/>
        </w:rPr>
        <w:t>5 billion.</w:t>
      </w:r>
    </w:p>
    <w:p w:rsidR="00852F3A" w:rsidRPr="00852F3A" w:rsidRDefault="00852F3A" w:rsidP="00D52CA6">
      <w:pPr>
        <w:spacing w:after="0"/>
        <w:ind w:firstLine="708"/>
        <w:jc w:val="both"/>
        <w:rPr>
          <w:rFonts w:ascii="Times New Roman" w:hAnsi="Times New Roman"/>
          <w:sz w:val="24"/>
          <w:szCs w:val="24"/>
          <w:lang w:val="en-US"/>
        </w:rPr>
      </w:pPr>
      <w:r w:rsidRPr="00096760">
        <w:rPr>
          <w:rFonts w:ascii="Times New Roman" w:hAnsi="Times New Roman"/>
          <w:sz w:val="24"/>
          <w:szCs w:val="24"/>
          <w:lang w:val="en-US"/>
        </w:rPr>
        <w:t xml:space="preserve">As of </w:t>
      </w:r>
      <w:r w:rsidRPr="00852F3A">
        <w:rPr>
          <w:rFonts w:ascii="Times New Roman" w:hAnsi="Times New Roman"/>
          <w:b/>
          <w:sz w:val="24"/>
          <w:szCs w:val="24"/>
          <w:lang w:val="en-US"/>
        </w:rPr>
        <w:t>April 1, 2015</w:t>
      </w:r>
      <w:r w:rsidRPr="00096760">
        <w:rPr>
          <w:rFonts w:ascii="Times New Roman" w:hAnsi="Times New Roman"/>
          <w:sz w:val="24"/>
          <w:szCs w:val="24"/>
          <w:lang w:val="en-US"/>
        </w:rPr>
        <w:t xml:space="preserve"> the cumulative KDIF’s liabilities on payouts to the member-banks’ insured depositors in case of a bank failure amounted to </w:t>
      </w:r>
      <w:r>
        <w:rPr>
          <w:rFonts w:ascii="Times New Roman" w:hAnsi="Times New Roman"/>
          <w:sz w:val="24"/>
          <w:szCs w:val="24"/>
          <w:lang w:val="en-US"/>
        </w:rPr>
        <w:t>T</w:t>
      </w:r>
      <w:r w:rsidRPr="00096760">
        <w:rPr>
          <w:rFonts w:ascii="Times New Roman" w:hAnsi="Times New Roman"/>
          <w:sz w:val="24"/>
          <w:szCs w:val="24"/>
          <w:lang w:val="en-US"/>
        </w:rPr>
        <w:t>2.</w:t>
      </w:r>
      <w:r>
        <w:rPr>
          <w:rFonts w:ascii="Times New Roman" w:hAnsi="Times New Roman"/>
          <w:sz w:val="24"/>
          <w:szCs w:val="24"/>
          <w:lang w:val="en-US"/>
        </w:rPr>
        <w:t>3</w:t>
      </w:r>
      <w:r w:rsidRPr="00096760">
        <w:rPr>
          <w:rFonts w:ascii="Times New Roman" w:hAnsi="Times New Roman"/>
          <w:sz w:val="24"/>
          <w:szCs w:val="24"/>
          <w:lang w:val="en-US"/>
        </w:rPr>
        <w:t xml:space="preserve"> trillion. At the reporting date, KDIF’s special reserve reached </w:t>
      </w:r>
      <w:r>
        <w:rPr>
          <w:rFonts w:ascii="Times New Roman" w:hAnsi="Times New Roman"/>
          <w:sz w:val="24"/>
          <w:szCs w:val="24"/>
          <w:lang w:val="en-US"/>
        </w:rPr>
        <w:t>T</w:t>
      </w:r>
      <w:r w:rsidRPr="00096760">
        <w:rPr>
          <w:rFonts w:ascii="Times New Roman" w:hAnsi="Times New Roman"/>
          <w:sz w:val="24"/>
          <w:szCs w:val="24"/>
          <w:lang w:val="en-US"/>
        </w:rPr>
        <w:t>2</w:t>
      </w:r>
      <w:r>
        <w:rPr>
          <w:rFonts w:ascii="Times New Roman" w:hAnsi="Times New Roman"/>
          <w:sz w:val="24"/>
          <w:szCs w:val="24"/>
          <w:lang w:val="en-US"/>
        </w:rPr>
        <w:t>22.4 billion</w:t>
      </w:r>
      <w:r w:rsidRPr="00096760">
        <w:rPr>
          <w:rFonts w:ascii="Times New Roman" w:hAnsi="Times New Roman"/>
          <w:sz w:val="24"/>
          <w:szCs w:val="24"/>
          <w:lang w:val="en-US"/>
        </w:rPr>
        <w:t xml:space="preserve"> net of the KDIF’s authorized capital.  Under the current legislation KDIF is authorized to use up to 70% of its authorized capital in case of its special reserve’s shortage upon the Shareholder’s approval, and in this case the maximum possible size of the KDIF’s special reserve will be amounted to </w:t>
      </w:r>
      <w:r w:rsidR="009427D7">
        <w:rPr>
          <w:rFonts w:ascii="Times New Roman" w:hAnsi="Times New Roman"/>
          <w:sz w:val="24"/>
          <w:szCs w:val="24"/>
          <w:lang w:val="en-US"/>
        </w:rPr>
        <w:t>T</w:t>
      </w:r>
      <w:r w:rsidRPr="00096760">
        <w:rPr>
          <w:rFonts w:ascii="Times New Roman" w:hAnsi="Times New Roman"/>
          <w:sz w:val="24"/>
          <w:szCs w:val="24"/>
          <w:lang w:val="en-US"/>
        </w:rPr>
        <w:t>3</w:t>
      </w:r>
      <w:r>
        <w:rPr>
          <w:rFonts w:ascii="Times New Roman" w:hAnsi="Times New Roman"/>
          <w:sz w:val="24"/>
          <w:szCs w:val="24"/>
          <w:lang w:val="en-US"/>
        </w:rPr>
        <w:t>27</w:t>
      </w:r>
      <w:r w:rsidRPr="00096760">
        <w:rPr>
          <w:rFonts w:ascii="Times New Roman" w:hAnsi="Times New Roman"/>
          <w:sz w:val="24"/>
          <w:szCs w:val="24"/>
          <w:lang w:val="en-US"/>
        </w:rPr>
        <w:t>.</w:t>
      </w:r>
      <w:r>
        <w:rPr>
          <w:rFonts w:ascii="Times New Roman" w:hAnsi="Times New Roman"/>
          <w:sz w:val="24"/>
          <w:szCs w:val="24"/>
          <w:lang w:val="en-US"/>
        </w:rPr>
        <w:t>9</w:t>
      </w:r>
      <w:r w:rsidR="009427D7">
        <w:rPr>
          <w:rFonts w:ascii="Times New Roman" w:hAnsi="Times New Roman"/>
          <w:sz w:val="24"/>
          <w:szCs w:val="24"/>
          <w:lang w:val="en-US"/>
        </w:rPr>
        <w:t xml:space="preserve"> billion</w:t>
      </w:r>
      <w:r w:rsidRPr="00096760">
        <w:rPr>
          <w:rFonts w:ascii="Times New Roman" w:hAnsi="Times New Roman"/>
          <w:sz w:val="24"/>
          <w:szCs w:val="24"/>
          <w:lang w:val="en-US"/>
        </w:rPr>
        <w:t xml:space="preserve"> which is 1</w:t>
      </w:r>
      <w:r>
        <w:rPr>
          <w:rFonts w:ascii="Times New Roman" w:hAnsi="Times New Roman"/>
          <w:sz w:val="24"/>
          <w:szCs w:val="24"/>
          <w:lang w:val="en-US"/>
        </w:rPr>
        <w:t>4</w:t>
      </w:r>
      <w:r w:rsidRPr="00096760">
        <w:rPr>
          <w:rFonts w:ascii="Times New Roman" w:hAnsi="Times New Roman"/>
          <w:sz w:val="24"/>
          <w:szCs w:val="24"/>
          <w:lang w:val="en-US"/>
        </w:rPr>
        <w:t>.</w:t>
      </w:r>
      <w:r>
        <w:rPr>
          <w:rFonts w:ascii="Times New Roman" w:hAnsi="Times New Roman"/>
          <w:sz w:val="24"/>
          <w:szCs w:val="24"/>
          <w:lang w:val="en-US"/>
        </w:rPr>
        <w:t>7</w:t>
      </w:r>
      <w:r w:rsidRPr="00096760">
        <w:rPr>
          <w:rFonts w:ascii="Times New Roman" w:hAnsi="Times New Roman"/>
          <w:sz w:val="24"/>
          <w:szCs w:val="24"/>
          <w:lang w:val="en-US"/>
        </w:rPr>
        <w:t>% of the cumulative KDIF’s liabilities on payouts or 7.</w:t>
      </w:r>
      <w:r>
        <w:rPr>
          <w:rFonts w:ascii="Times New Roman" w:hAnsi="Times New Roman"/>
          <w:sz w:val="24"/>
          <w:szCs w:val="24"/>
          <w:lang w:val="en-US"/>
        </w:rPr>
        <w:t>6</w:t>
      </w:r>
      <w:r w:rsidRPr="00096760">
        <w:rPr>
          <w:rFonts w:ascii="Times New Roman" w:hAnsi="Times New Roman"/>
          <w:sz w:val="24"/>
          <w:szCs w:val="24"/>
          <w:lang w:val="en-US"/>
        </w:rPr>
        <w:t xml:space="preserve">% of the total amount of member-banks’ retail deposits. </w:t>
      </w:r>
    </w:p>
    <w:p w:rsidR="00683EAF" w:rsidRDefault="0026189B" w:rsidP="0026189B">
      <w:pPr>
        <w:spacing w:after="0"/>
        <w:ind w:firstLine="567"/>
        <w:jc w:val="both"/>
        <w:rPr>
          <w:rFonts w:ascii="Times New Roman" w:hAnsi="Times New Roman"/>
          <w:color w:val="000000"/>
          <w:sz w:val="24"/>
          <w:szCs w:val="24"/>
          <w:lang w:val="en-US"/>
        </w:rPr>
      </w:pPr>
      <w:r w:rsidRPr="00096760">
        <w:rPr>
          <w:rFonts w:ascii="Times New Roman" w:hAnsi="Times New Roman"/>
          <w:color w:val="000000"/>
          <w:sz w:val="24"/>
          <w:szCs w:val="24"/>
          <w:lang w:val="en-US"/>
        </w:rPr>
        <w:t xml:space="preserve">As a result of the </w:t>
      </w:r>
      <w:r>
        <w:rPr>
          <w:rFonts w:ascii="Times New Roman" w:hAnsi="Times New Roman"/>
          <w:color w:val="000000"/>
          <w:sz w:val="24"/>
          <w:szCs w:val="24"/>
          <w:lang w:val="en-US"/>
        </w:rPr>
        <w:t>1</w:t>
      </w:r>
      <w:r w:rsidRPr="0026189B">
        <w:rPr>
          <w:rFonts w:ascii="Times New Roman" w:hAnsi="Times New Roman"/>
          <w:color w:val="000000"/>
          <w:sz w:val="24"/>
          <w:szCs w:val="24"/>
          <w:vertAlign w:val="superscript"/>
          <w:lang w:val="en-US"/>
        </w:rPr>
        <w:t>st</w:t>
      </w:r>
      <w:r>
        <w:rPr>
          <w:rFonts w:ascii="Times New Roman" w:hAnsi="Times New Roman"/>
          <w:color w:val="000000"/>
          <w:sz w:val="24"/>
          <w:szCs w:val="24"/>
          <w:lang w:val="en-US"/>
        </w:rPr>
        <w:t xml:space="preserve"> </w:t>
      </w:r>
      <w:r w:rsidRPr="00096760">
        <w:rPr>
          <w:rFonts w:ascii="Times New Roman" w:hAnsi="Times New Roman"/>
          <w:color w:val="000000"/>
          <w:sz w:val="24"/>
          <w:szCs w:val="24"/>
          <w:lang w:val="en-US"/>
        </w:rPr>
        <w:t xml:space="preserve">quarter </w:t>
      </w:r>
      <w:r>
        <w:rPr>
          <w:rFonts w:ascii="Times New Roman" w:hAnsi="Times New Roman"/>
          <w:color w:val="000000"/>
          <w:sz w:val="24"/>
          <w:szCs w:val="24"/>
          <w:lang w:val="en-US"/>
        </w:rPr>
        <w:t>of 2015</w:t>
      </w:r>
      <w:r w:rsidRPr="00096760">
        <w:rPr>
          <w:rFonts w:ascii="Times New Roman" w:hAnsi="Times New Roman"/>
          <w:color w:val="000000"/>
          <w:sz w:val="24"/>
          <w:szCs w:val="24"/>
          <w:lang w:val="en-US"/>
        </w:rPr>
        <w:t xml:space="preserve"> </w:t>
      </w:r>
      <w:r w:rsidR="00683EAF">
        <w:rPr>
          <w:rFonts w:ascii="Times New Roman" w:hAnsi="Times New Roman"/>
          <w:color w:val="000000"/>
          <w:sz w:val="24"/>
          <w:szCs w:val="24"/>
          <w:lang w:val="en-US"/>
        </w:rPr>
        <w:t>five</w:t>
      </w:r>
      <w:r w:rsidR="00BA495D" w:rsidRPr="00BA495D">
        <w:rPr>
          <w:rFonts w:ascii="Times New Roman" w:hAnsi="Times New Roman"/>
          <w:color w:val="000000"/>
          <w:sz w:val="24"/>
          <w:szCs w:val="24"/>
          <w:lang w:val="en-US"/>
        </w:rPr>
        <w:t xml:space="preserve"> </w:t>
      </w:r>
      <w:r w:rsidRPr="00096760">
        <w:rPr>
          <w:rFonts w:ascii="Times New Roman" w:hAnsi="Times New Roman"/>
          <w:color w:val="000000"/>
          <w:sz w:val="24"/>
          <w:szCs w:val="24"/>
          <w:lang w:val="en-US"/>
        </w:rPr>
        <w:t xml:space="preserve">member-banks </w:t>
      </w:r>
      <w:r>
        <w:rPr>
          <w:rFonts w:ascii="Times New Roman" w:hAnsi="Times New Roman"/>
          <w:color w:val="000000"/>
          <w:sz w:val="24"/>
          <w:szCs w:val="24"/>
          <w:lang w:val="en-US"/>
        </w:rPr>
        <w:t>changed</w:t>
      </w:r>
      <w:r w:rsidRPr="00096760">
        <w:rPr>
          <w:rFonts w:ascii="Times New Roman" w:hAnsi="Times New Roman"/>
          <w:color w:val="000000"/>
          <w:sz w:val="24"/>
          <w:szCs w:val="24"/>
          <w:lang w:val="en-US"/>
        </w:rPr>
        <w:t xml:space="preserve"> their </w:t>
      </w:r>
      <w:r>
        <w:rPr>
          <w:rFonts w:ascii="Times New Roman" w:hAnsi="Times New Roman"/>
          <w:color w:val="000000"/>
          <w:sz w:val="24"/>
          <w:szCs w:val="24"/>
          <w:lang w:val="en-US"/>
        </w:rPr>
        <w:t>position</w:t>
      </w:r>
      <w:r w:rsidRPr="00096760">
        <w:rPr>
          <w:rFonts w:ascii="Times New Roman" w:hAnsi="Times New Roman"/>
          <w:color w:val="000000"/>
          <w:sz w:val="24"/>
          <w:szCs w:val="24"/>
          <w:lang w:val="en-US"/>
        </w:rPr>
        <w:t xml:space="preserve"> within the differential premium system “BATA”</w:t>
      </w:r>
      <w:r w:rsidR="00E827CC">
        <w:rPr>
          <w:rStyle w:val="a7"/>
          <w:rFonts w:ascii="Times New Roman" w:hAnsi="Times New Roman"/>
          <w:color w:val="000000"/>
          <w:sz w:val="24"/>
          <w:szCs w:val="24"/>
          <w:lang w:val="en-US"/>
        </w:rPr>
        <w:footnoteReference w:id="1"/>
      </w:r>
      <w:r w:rsidR="00E827CC">
        <w:rPr>
          <w:rFonts w:ascii="Times New Roman" w:hAnsi="Times New Roman"/>
          <w:color w:val="000000"/>
          <w:sz w:val="24"/>
          <w:szCs w:val="24"/>
          <w:lang w:val="en-US"/>
        </w:rPr>
        <w:t xml:space="preserve"> (hereinafter referred to </w:t>
      </w:r>
      <w:r w:rsidR="00E827CC" w:rsidRPr="00E827CC">
        <w:rPr>
          <w:rFonts w:ascii="Times New Roman" w:hAnsi="Times New Roman"/>
          <w:color w:val="000000"/>
          <w:sz w:val="24"/>
          <w:szCs w:val="24"/>
          <w:lang w:val="en-US"/>
        </w:rPr>
        <w:t>as</w:t>
      </w:r>
      <w:r w:rsidR="00E827CC">
        <w:rPr>
          <w:rFonts w:ascii="Times New Roman" w:hAnsi="Times New Roman"/>
          <w:color w:val="000000"/>
          <w:sz w:val="24"/>
          <w:szCs w:val="24"/>
          <w:lang w:val="en-US"/>
        </w:rPr>
        <w:t xml:space="preserve"> DPS “BATA”</w:t>
      </w:r>
      <w:r w:rsidR="001F5041">
        <w:rPr>
          <w:rStyle w:val="a7"/>
          <w:rFonts w:ascii="Times New Roman" w:hAnsi="Times New Roman"/>
          <w:color w:val="000000"/>
          <w:sz w:val="24"/>
          <w:szCs w:val="24"/>
          <w:lang w:val="en-US"/>
        </w:rPr>
        <w:footnoteReference w:id="2"/>
      </w:r>
      <w:r w:rsidR="00E827CC">
        <w:rPr>
          <w:rFonts w:ascii="Times New Roman" w:hAnsi="Times New Roman"/>
          <w:color w:val="000000"/>
          <w:sz w:val="24"/>
          <w:szCs w:val="24"/>
          <w:lang w:val="en-US"/>
        </w:rPr>
        <w:t>)</w:t>
      </w:r>
      <w:r w:rsidRPr="00096760">
        <w:rPr>
          <w:rFonts w:ascii="Times New Roman" w:hAnsi="Times New Roman"/>
          <w:color w:val="000000"/>
          <w:sz w:val="24"/>
          <w:szCs w:val="24"/>
          <w:lang w:val="en-US"/>
        </w:rPr>
        <w:t xml:space="preserve"> framework. </w:t>
      </w:r>
      <w:r w:rsidR="00F95B7F">
        <w:rPr>
          <w:rFonts w:ascii="Times New Roman" w:hAnsi="Times New Roman"/>
          <w:color w:val="000000"/>
          <w:sz w:val="24"/>
          <w:szCs w:val="24"/>
          <w:lang w:val="en-US"/>
        </w:rPr>
        <w:t xml:space="preserve">Two member-banks </w:t>
      </w:r>
      <w:r w:rsidR="00AF116C">
        <w:rPr>
          <w:rFonts w:ascii="Times New Roman" w:hAnsi="Times New Roman"/>
          <w:color w:val="000000"/>
          <w:sz w:val="24"/>
          <w:szCs w:val="24"/>
          <w:lang w:val="en-US"/>
        </w:rPr>
        <w:t>improved</w:t>
      </w:r>
      <w:r w:rsidR="00F95B7F">
        <w:rPr>
          <w:rFonts w:ascii="Times New Roman" w:hAnsi="Times New Roman"/>
          <w:color w:val="000000"/>
          <w:sz w:val="24"/>
          <w:szCs w:val="24"/>
          <w:lang w:val="en-US"/>
        </w:rPr>
        <w:t xml:space="preserve"> their </w:t>
      </w:r>
      <w:r w:rsidR="00BA495D">
        <w:rPr>
          <w:rFonts w:ascii="Times New Roman" w:hAnsi="Times New Roman"/>
          <w:color w:val="000000"/>
          <w:sz w:val="24"/>
          <w:szCs w:val="24"/>
          <w:lang w:val="en-US"/>
        </w:rPr>
        <w:t>results</w:t>
      </w:r>
      <w:r w:rsidR="00F95B7F">
        <w:rPr>
          <w:rFonts w:ascii="Times New Roman" w:hAnsi="Times New Roman"/>
          <w:color w:val="000000"/>
          <w:sz w:val="24"/>
          <w:szCs w:val="24"/>
          <w:lang w:val="en-US"/>
        </w:rPr>
        <w:t xml:space="preserve"> and </w:t>
      </w:r>
      <w:r w:rsidR="00AF116C" w:rsidRPr="00BA495D">
        <w:rPr>
          <w:rFonts w:ascii="Times New Roman" w:hAnsi="Times New Roman"/>
          <w:color w:val="000000"/>
          <w:sz w:val="24"/>
          <w:szCs w:val="24"/>
          <w:lang w:val="en-US"/>
        </w:rPr>
        <w:t xml:space="preserve">have been </w:t>
      </w:r>
      <w:r w:rsidR="00F95B7F">
        <w:rPr>
          <w:rFonts w:ascii="Times New Roman" w:hAnsi="Times New Roman"/>
          <w:color w:val="000000"/>
          <w:sz w:val="24"/>
          <w:szCs w:val="24"/>
          <w:lang w:val="en-US"/>
        </w:rPr>
        <w:t xml:space="preserve">transferred to the less risky classification groups. </w:t>
      </w:r>
      <w:r w:rsidR="00BA495D" w:rsidRPr="00BA495D">
        <w:rPr>
          <w:rFonts w:ascii="Times New Roman" w:hAnsi="Times New Roman"/>
          <w:color w:val="000000"/>
          <w:sz w:val="24"/>
          <w:szCs w:val="24"/>
          <w:lang w:val="en-US"/>
        </w:rPr>
        <w:t xml:space="preserve">The deterioration occurred in the results of the three </w:t>
      </w:r>
      <w:r w:rsidR="00BA495D">
        <w:rPr>
          <w:rFonts w:ascii="Times New Roman" w:hAnsi="Times New Roman"/>
          <w:color w:val="000000"/>
          <w:sz w:val="24"/>
          <w:szCs w:val="24"/>
          <w:lang w:val="en-US"/>
        </w:rPr>
        <w:t>member-</w:t>
      </w:r>
      <w:r w:rsidR="00BA495D" w:rsidRPr="00BA495D">
        <w:rPr>
          <w:rFonts w:ascii="Times New Roman" w:hAnsi="Times New Roman"/>
          <w:color w:val="000000"/>
          <w:sz w:val="24"/>
          <w:szCs w:val="24"/>
          <w:lang w:val="en-US"/>
        </w:rPr>
        <w:t>banks, which have violated the maximum interest rate</w:t>
      </w:r>
      <w:r w:rsidR="00BA495D">
        <w:rPr>
          <w:rFonts w:ascii="Times New Roman" w:hAnsi="Times New Roman"/>
          <w:color w:val="000000"/>
          <w:sz w:val="24"/>
          <w:szCs w:val="24"/>
          <w:lang w:val="en-US"/>
        </w:rPr>
        <w:t>s</w:t>
      </w:r>
      <w:r w:rsidR="00BA495D" w:rsidRPr="00BA495D">
        <w:rPr>
          <w:rFonts w:ascii="Times New Roman" w:hAnsi="Times New Roman"/>
          <w:color w:val="000000"/>
          <w:sz w:val="24"/>
          <w:szCs w:val="24"/>
          <w:lang w:val="en-US"/>
        </w:rPr>
        <w:t xml:space="preserve"> on deposits, </w:t>
      </w:r>
      <w:r w:rsidR="00852F3A" w:rsidRPr="00BA495D">
        <w:rPr>
          <w:rFonts w:ascii="Times New Roman" w:hAnsi="Times New Roman"/>
          <w:color w:val="000000"/>
          <w:sz w:val="24"/>
          <w:szCs w:val="24"/>
          <w:lang w:val="en-US"/>
        </w:rPr>
        <w:t>therefore</w:t>
      </w:r>
      <w:r w:rsidR="00BA495D" w:rsidRPr="00BA495D">
        <w:rPr>
          <w:rFonts w:ascii="Times New Roman" w:hAnsi="Times New Roman"/>
          <w:color w:val="000000"/>
          <w:sz w:val="24"/>
          <w:szCs w:val="24"/>
          <w:lang w:val="en-US"/>
        </w:rPr>
        <w:t xml:space="preserve">, have been </w:t>
      </w:r>
      <w:r w:rsidR="00BA495D">
        <w:rPr>
          <w:rFonts w:ascii="Times New Roman" w:hAnsi="Times New Roman"/>
          <w:color w:val="000000"/>
          <w:sz w:val="24"/>
          <w:szCs w:val="24"/>
          <w:lang w:val="en-US"/>
        </w:rPr>
        <w:t>transferred to</w:t>
      </w:r>
      <w:r w:rsidR="00BA495D" w:rsidRPr="00BA495D">
        <w:rPr>
          <w:rFonts w:ascii="Times New Roman" w:hAnsi="Times New Roman"/>
          <w:color w:val="000000"/>
          <w:sz w:val="24"/>
          <w:szCs w:val="24"/>
          <w:lang w:val="en-US"/>
        </w:rPr>
        <w:t xml:space="preserve"> the classification group «S».</w:t>
      </w:r>
      <w:r w:rsidR="00852F3A">
        <w:rPr>
          <w:rFonts w:ascii="Times New Roman" w:hAnsi="Times New Roman"/>
          <w:color w:val="000000"/>
          <w:sz w:val="24"/>
          <w:szCs w:val="24"/>
          <w:lang w:val="en-US"/>
        </w:rPr>
        <w:t xml:space="preserve"> </w:t>
      </w:r>
      <w:r w:rsidR="00AF116C">
        <w:rPr>
          <w:rFonts w:ascii="Times New Roman" w:hAnsi="Times New Roman"/>
          <w:color w:val="000000"/>
          <w:sz w:val="24"/>
          <w:szCs w:val="24"/>
          <w:lang w:val="en-US"/>
        </w:rPr>
        <w:t xml:space="preserve"> </w:t>
      </w:r>
    </w:p>
    <w:p w:rsidR="00DB2929" w:rsidRPr="0044668A" w:rsidRDefault="00AF116C" w:rsidP="0044668A">
      <w:pPr>
        <w:spacing w:after="0"/>
        <w:ind w:firstLine="567"/>
        <w:jc w:val="both"/>
        <w:rPr>
          <w:rFonts w:ascii="Times New Roman" w:hAnsi="Times New Roman"/>
          <w:color w:val="000000"/>
          <w:sz w:val="24"/>
          <w:szCs w:val="24"/>
          <w:lang w:val="en-US"/>
        </w:rPr>
      </w:pPr>
      <w:r w:rsidRPr="00096760">
        <w:rPr>
          <w:rFonts w:ascii="Times New Roman" w:eastAsia="Times New Roman" w:hAnsi="Times New Roman"/>
          <w:sz w:val="24"/>
          <w:szCs w:val="24"/>
          <w:lang w:val="en-US" w:eastAsia="ru-RU"/>
        </w:rPr>
        <w:t>Accordingly</w:t>
      </w:r>
      <w:r w:rsidR="0026189B" w:rsidRPr="00096760">
        <w:rPr>
          <w:rFonts w:ascii="Times New Roman" w:eastAsia="Times New Roman" w:hAnsi="Times New Roman"/>
          <w:sz w:val="24"/>
          <w:szCs w:val="24"/>
          <w:lang w:val="en-US" w:eastAsia="ru-RU"/>
        </w:rPr>
        <w:t xml:space="preserve">, the shares of member-banks in classification groups allocated as follows:  the share of group “A” is </w:t>
      </w:r>
      <w:r w:rsidR="0026189B">
        <w:rPr>
          <w:rFonts w:ascii="Times New Roman" w:eastAsia="Times New Roman" w:hAnsi="Times New Roman"/>
          <w:sz w:val="24"/>
          <w:szCs w:val="24"/>
          <w:lang w:val="en-US" w:eastAsia="ru-RU"/>
        </w:rPr>
        <w:t>5</w:t>
      </w:r>
      <w:r w:rsidR="0026189B" w:rsidRPr="00096760">
        <w:rPr>
          <w:rFonts w:ascii="Times New Roman" w:eastAsia="Times New Roman" w:hAnsi="Times New Roman"/>
          <w:sz w:val="24"/>
          <w:szCs w:val="24"/>
          <w:lang w:val="en-US" w:eastAsia="ru-RU"/>
        </w:rPr>
        <w:t>.</w:t>
      </w:r>
      <w:r w:rsidR="0026189B">
        <w:rPr>
          <w:rFonts w:ascii="Times New Roman" w:eastAsia="Times New Roman" w:hAnsi="Times New Roman"/>
          <w:sz w:val="24"/>
          <w:szCs w:val="24"/>
          <w:lang w:val="en-US" w:eastAsia="ru-RU"/>
        </w:rPr>
        <w:t>4</w:t>
      </w:r>
      <w:r w:rsidR="0026189B" w:rsidRPr="00096760">
        <w:rPr>
          <w:rFonts w:ascii="Times New Roman" w:eastAsia="Times New Roman" w:hAnsi="Times New Roman"/>
          <w:sz w:val="24"/>
          <w:szCs w:val="24"/>
          <w:lang w:val="en-US" w:eastAsia="ru-RU"/>
        </w:rPr>
        <w:t>% (</w:t>
      </w:r>
      <w:r w:rsidR="0026189B">
        <w:rPr>
          <w:rFonts w:ascii="Times New Roman" w:eastAsia="Times New Roman" w:hAnsi="Times New Roman"/>
          <w:sz w:val="24"/>
          <w:szCs w:val="24"/>
          <w:lang w:val="en-US" w:eastAsia="ru-RU"/>
        </w:rPr>
        <w:t>2</w:t>
      </w:r>
      <w:r w:rsidR="0026189B" w:rsidRPr="00096760">
        <w:rPr>
          <w:rFonts w:ascii="Times New Roman" w:eastAsia="Times New Roman" w:hAnsi="Times New Roman"/>
          <w:sz w:val="24"/>
          <w:szCs w:val="24"/>
          <w:lang w:val="en-US" w:eastAsia="ru-RU"/>
        </w:rPr>
        <w:t xml:space="preserve"> bank</w:t>
      </w:r>
      <w:r w:rsidR="0026189B">
        <w:rPr>
          <w:rFonts w:ascii="Times New Roman" w:eastAsia="Times New Roman" w:hAnsi="Times New Roman"/>
          <w:sz w:val="24"/>
          <w:szCs w:val="24"/>
          <w:lang w:val="en-US" w:eastAsia="ru-RU"/>
        </w:rPr>
        <w:t>s</w:t>
      </w:r>
      <w:r w:rsidR="0026189B" w:rsidRPr="00096760">
        <w:rPr>
          <w:rFonts w:ascii="Times New Roman" w:eastAsia="Times New Roman" w:hAnsi="Times New Roman"/>
          <w:sz w:val="24"/>
          <w:szCs w:val="24"/>
          <w:lang w:val="en-US" w:eastAsia="ru-RU"/>
        </w:rPr>
        <w:t>), share of group “B” is 18.9% (7 banks), share of group “C” – 4</w:t>
      </w:r>
      <w:r w:rsidR="0026189B">
        <w:rPr>
          <w:rFonts w:ascii="Times New Roman" w:eastAsia="Times New Roman" w:hAnsi="Times New Roman"/>
          <w:sz w:val="24"/>
          <w:szCs w:val="24"/>
          <w:lang w:val="en-US" w:eastAsia="ru-RU"/>
        </w:rPr>
        <w:t>0</w:t>
      </w:r>
      <w:r w:rsidR="0026189B" w:rsidRPr="00096760">
        <w:rPr>
          <w:rFonts w:ascii="Times New Roman" w:eastAsia="Times New Roman" w:hAnsi="Times New Roman"/>
          <w:sz w:val="24"/>
          <w:szCs w:val="24"/>
          <w:lang w:val="en-US" w:eastAsia="ru-RU"/>
        </w:rPr>
        <w:t>.</w:t>
      </w:r>
      <w:r w:rsidR="0026189B">
        <w:rPr>
          <w:rFonts w:ascii="Times New Roman" w:eastAsia="Times New Roman" w:hAnsi="Times New Roman"/>
          <w:sz w:val="24"/>
          <w:szCs w:val="24"/>
          <w:lang w:val="en-US" w:eastAsia="ru-RU"/>
        </w:rPr>
        <w:t>5</w:t>
      </w:r>
      <w:r w:rsidR="0026189B" w:rsidRPr="00096760">
        <w:rPr>
          <w:rFonts w:ascii="Times New Roman" w:eastAsia="Times New Roman" w:hAnsi="Times New Roman"/>
          <w:sz w:val="24"/>
          <w:szCs w:val="24"/>
          <w:lang w:val="en-US" w:eastAsia="ru-RU"/>
        </w:rPr>
        <w:t>% (1</w:t>
      </w:r>
      <w:r w:rsidR="0026189B">
        <w:rPr>
          <w:rFonts w:ascii="Times New Roman" w:eastAsia="Times New Roman" w:hAnsi="Times New Roman"/>
          <w:sz w:val="24"/>
          <w:szCs w:val="24"/>
          <w:lang w:val="en-US" w:eastAsia="ru-RU"/>
        </w:rPr>
        <w:t>5</w:t>
      </w:r>
      <w:r w:rsidR="0026189B" w:rsidRPr="00096760">
        <w:rPr>
          <w:rFonts w:ascii="Times New Roman" w:eastAsia="Times New Roman" w:hAnsi="Times New Roman"/>
          <w:sz w:val="24"/>
          <w:szCs w:val="24"/>
          <w:lang w:val="en-US" w:eastAsia="ru-RU"/>
        </w:rPr>
        <w:t xml:space="preserve"> banks), share of group “D” – 2</w:t>
      </w:r>
      <w:r w:rsidR="00683EAF">
        <w:rPr>
          <w:rFonts w:ascii="Times New Roman" w:eastAsia="Times New Roman" w:hAnsi="Times New Roman"/>
          <w:sz w:val="24"/>
          <w:szCs w:val="24"/>
          <w:lang w:val="en-US" w:eastAsia="ru-RU"/>
        </w:rPr>
        <w:t>1</w:t>
      </w:r>
      <w:r w:rsidR="0026189B" w:rsidRPr="00096760">
        <w:rPr>
          <w:rFonts w:ascii="Times New Roman" w:eastAsia="Times New Roman" w:hAnsi="Times New Roman"/>
          <w:sz w:val="24"/>
          <w:szCs w:val="24"/>
          <w:lang w:val="en-US" w:eastAsia="ru-RU"/>
        </w:rPr>
        <w:t>.</w:t>
      </w:r>
      <w:r w:rsidR="00683EAF">
        <w:rPr>
          <w:rFonts w:ascii="Times New Roman" w:eastAsia="Times New Roman" w:hAnsi="Times New Roman"/>
          <w:sz w:val="24"/>
          <w:szCs w:val="24"/>
          <w:lang w:val="en-US" w:eastAsia="ru-RU"/>
        </w:rPr>
        <w:t>6</w:t>
      </w:r>
      <w:r w:rsidR="0026189B" w:rsidRPr="00096760">
        <w:rPr>
          <w:rFonts w:ascii="Times New Roman" w:eastAsia="Times New Roman" w:hAnsi="Times New Roman"/>
          <w:sz w:val="24"/>
          <w:szCs w:val="24"/>
          <w:lang w:val="en-US" w:eastAsia="ru-RU"/>
        </w:rPr>
        <w:t>% (</w:t>
      </w:r>
      <w:r w:rsidR="00683EAF">
        <w:rPr>
          <w:rFonts w:ascii="Times New Roman" w:eastAsia="Times New Roman" w:hAnsi="Times New Roman"/>
          <w:sz w:val="24"/>
          <w:szCs w:val="24"/>
          <w:lang w:val="en-US" w:eastAsia="ru-RU"/>
        </w:rPr>
        <w:t>8</w:t>
      </w:r>
      <w:r w:rsidR="0026189B" w:rsidRPr="00096760">
        <w:rPr>
          <w:rFonts w:ascii="Times New Roman" w:eastAsia="Times New Roman" w:hAnsi="Times New Roman"/>
          <w:sz w:val="24"/>
          <w:szCs w:val="24"/>
          <w:lang w:val="en-US" w:eastAsia="ru-RU"/>
        </w:rPr>
        <w:t xml:space="preserve"> banks), share of group “E” – </w:t>
      </w:r>
      <w:r w:rsidR="0026189B">
        <w:rPr>
          <w:rFonts w:ascii="Times New Roman" w:eastAsia="Times New Roman" w:hAnsi="Times New Roman"/>
          <w:sz w:val="24"/>
          <w:szCs w:val="24"/>
          <w:lang w:val="en-US" w:eastAsia="ru-RU"/>
        </w:rPr>
        <w:t>5</w:t>
      </w:r>
      <w:r w:rsidR="0026189B" w:rsidRPr="00096760">
        <w:rPr>
          <w:rFonts w:ascii="Times New Roman" w:eastAsia="Times New Roman" w:hAnsi="Times New Roman"/>
          <w:sz w:val="24"/>
          <w:szCs w:val="24"/>
          <w:lang w:val="en-US" w:eastAsia="ru-RU"/>
        </w:rPr>
        <w:t>.</w:t>
      </w:r>
      <w:r w:rsidR="0026189B">
        <w:rPr>
          <w:rFonts w:ascii="Times New Roman" w:eastAsia="Times New Roman" w:hAnsi="Times New Roman"/>
          <w:sz w:val="24"/>
          <w:szCs w:val="24"/>
          <w:lang w:val="en-US" w:eastAsia="ru-RU"/>
        </w:rPr>
        <w:t>4</w:t>
      </w:r>
      <w:r w:rsidR="0026189B" w:rsidRPr="00096760">
        <w:rPr>
          <w:rFonts w:ascii="Times New Roman" w:eastAsia="Times New Roman" w:hAnsi="Times New Roman"/>
          <w:sz w:val="24"/>
          <w:szCs w:val="24"/>
          <w:lang w:val="en-US" w:eastAsia="ru-RU"/>
        </w:rPr>
        <w:t>% (</w:t>
      </w:r>
      <w:r w:rsidR="0026189B">
        <w:rPr>
          <w:rFonts w:ascii="Times New Roman" w:eastAsia="Times New Roman" w:hAnsi="Times New Roman"/>
          <w:sz w:val="24"/>
          <w:szCs w:val="24"/>
          <w:lang w:val="en-US" w:eastAsia="ru-RU"/>
        </w:rPr>
        <w:t>2</w:t>
      </w:r>
      <w:r w:rsidR="0026189B" w:rsidRPr="00096760">
        <w:rPr>
          <w:rFonts w:ascii="Times New Roman" w:eastAsia="Times New Roman" w:hAnsi="Times New Roman"/>
          <w:sz w:val="24"/>
          <w:szCs w:val="24"/>
          <w:lang w:val="en-US" w:eastAsia="ru-RU"/>
        </w:rPr>
        <w:t xml:space="preserve"> bank</w:t>
      </w:r>
      <w:r w:rsidR="0026189B">
        <w:rPr>
          <w:rFonts w:ascii="Times New Roman" w:eastAsia="Times New Roman" w:hAnsi="Times New Roman"/>
          <w:sz w:val="24"/>
          <w:szCs w:val="24"/>
          <w:lang w:val="en-US" w:eastAsia="ru-RU"/>
        </w:rPr>
        <w:t>s</w:t>
      </w:r>
      <w:r w:rsidR="0026189B" w:rsidRPr="00096760">
        <w:rPr>
          <w:rFonts w:ascii="Times New Roman" w:eastAsia="Times New Roman" w:hAnsi="Times New Roman"/>
          <w:sz w:val="24"/>
          <w:szCs w:val="24"/>
          <w:lang w:val="en-US" w:eastAsia="ru-RU"/>
        </w:rPr>
        <w:t xml:space="preserve">) and the share of group “S” – </w:t>
      </w:r>
      <w:r w:rsidR="00683EAF">
        <w:rPr>
          <w:rFonts w:ascii="Times New Roman" w:eastAsia="Times New Roman" w:hAnsi="Times New Roman"/>
          <w:sz w:val="24"/>
          <w:szCs w:val="24"/>
          <w:lang w:val="en-US" w:eastAsia="ru-RU"/>
        </w:rPr>
        <w:t>8</w:t>
      </w:r>
      <w:r w:rsidR="0026189B" w:rsidRPr="00096760">
        <w:rPr>
          <w:rFonts w:ascii="Times New Roman" w:eastAsia="Times New Roman" w:hAnsi="Times New Roman"/>
          <w:sz w:val="24"/>
          <w:szCs w:val="24"/>
          <w:lang w:val="en-US" w:eastAsia="ru-RU"/>
        </w:rPr>
        <w:t>.</w:t>
      </w:r>
      <w:r w:rsidR="00683EAF">
        <w:rPr>
          <w:rFonts w:ascii="Times New Roman" w:eastAsia="Times New Roman" w:hAnsi="Times New Roman"/>
          <w:sz w:val="24"/>
          <w:szCs w:val="24"/>
          <w:lang w:val="en-US" w:eastAsia="ru-RU"/>
        </w:rPr>
        <w:t>1</w:t>
      </w:r>
      <w:r w:rsidR="0026189B" w:rsidRPr="00096760">
        <w:rPr>
          <w:rFonts w:ascii="Times New Roman" w:eastAsia="Times New Roman" w:hAnsi="Times New Roman"/>
          <w:sz w:val="24"/>
          <w:szCs w:val="24"/>
          <w:lang w:val="en-US" w:eastAsia="ru-RU"/>
        </w:rPr>
        <w:t>% (</w:t>
      </w:r>
      <w:r w:rsidR="00683EAF">
        <w:rPr>
          <w:rFonts w:ascii="Times New Roman" w:eastAsia="Times New Roman" w:hAnsi="Times New Roman"/>
          <w:sz w:val="24"/>
          <w:szCs w:val="24"/>
          <w:lang w:val="en-US" w:eastAsia="ru-RU"/>
        </w:rPr>
        <w:t>3</w:t>
      </w:r>
      <w:r w:rsidR="0026189B" w:rsidRPr="00096760">
        <w:rPr>
          <w:rFonts w:ascii="Times New Roman" w:eastAsia="Times New Roman" w:hAnsi="Times New Roman"/>
          <w:sz w:val="24"/>
          <w:szCs w:val="24"/>
          <w:lang w:val="en-US" w:eastAsia="ru-RU"/>
        </w:rPr>
        <w:t xml:space="preserve"> bank</w:t>
      </w:r>
      <w:r w:rsidR="00683EAF">
        <w:rPr>
          <w:rFonts w:ascii="Times New Roman" w:eastAsia="Times New Roman" w:hAnsi="Times New Roman"/>
          <w:sz w:val="24"/>
          <w:szCs w:val="24"/>
          <w:lang w:val="en-US" w:eastAsia="ru-RU"/>
        </w:rPr>
        <w:t>s</w:t>
      </w:r>
      <w:r w:rsidR="0026189B" w:rsidRPr="00096760">
        <w:rPr>
          <w:rFonts w:ascii="Times New Roman" w:eastAsia="Times New Roman" w:hAnsi="Times New Roman"/>
          <w:sz w:val="24"/>
          <w:szCs w:val="24"/>
          <w:lang w:val="en-US" w:eastAsia="ru-RU"/>
        </w:rPr>
        <w:t>).</w:t>
      </w:r>
      <w:r w:rsidR="00852F3A">
        <w:rPr>
          <w:rFonts w:ascii="Times New Roman" w:eastAsia="Times New Roman" w:hAnsi="Times New Roman"/>
          <w:sz w:val="24"/>
          <w:szCs w:val="24"/>
          <w:lang w:val="en-US" w:eastAsia="ru-RU"/>
        </w:rPr>
        <w:t xml:space="preserve"> </w:t>
      </w:r>
    </w:p>
    <w:p w:rsidR="00551AC3" w:rsidRPr="00D52CA6" w:rsidRDefault="00561936" w:rsidP="00B855A5">
      <w:pPr>
        <w:spacing w:after="0"/>
        <w:ind w:firstLine="567"/>
        <w:jc w:val="both"/>
        <w:rPr>
          <w:noProof/>
          <w:lang w:val="en-US" w:eastAsia="ru-RU"/>
        </w:rPr>
      </w:pPr>
      <w:r w:rsidRPr="00A959ED">
        <w:rPr>
          <w:rFonts w:ascii="Times New Roman" w:eastAsia="Times New Roman" w:hAnsi="Times New Roman"/>
          <w:sz w:val="24"/>
          <w:szCs w:val="24"/>
          <w:lang w:val="en-US" w:eastAsia="ru-RU"/>
        </w:rPr>
        <w:t xml:space="preserve">The cumulative mandatory calendar premiums paid by the member-banks over the </w:t>
      </w:r>
      <w:r>
        <w:rPr>
          <w:rFonts w:ascii="Times New Roman" w:eastAsia="Times New Roman" w:hAnsi="Times New Roman"/>
          <w:sz w:val="24"/>
          <w:szCs w:val="24"/>
          <w:lang w:val="en-US" w:eastAsia="ru-RU"/>
        </w:rPr>
        <w:t>1</w:t>
      </w:r>
      <w:r w:rsidRPr="00561936">
        <w:rPr>
          <w:rFonts w:ascii="Times New Roman" w:eastAsia="Times New Roman" w:hAnsi="Times New Roman"/>
          <w:sz w:val="24"/>
          <w:szCs w:val="24"/>
          <w:vertAlign w:val="superscript"/>
          <w:lang w:val="en-US" w:eastAsia="ru-RU"/>
        </w:rPr>
        <w:t>st</w:t>
      </w:r>
      <w:r>
        <w:rPr>
          <w:rFonts w:ascii="Times New Roman" w:eastAsia="Times New Roman" w:hAnsi="Times New Roman"/>
          <w:sz w:val="24"/>
          <w:szCs w:val="24"/>
          <w:lang w:val="en-US" w:eastAsia="ru-RU"/>
        </w:rPr>
        <w:t xml:space="preserve"> </w:t>
      </w:r>
      <w:r w:rsidRPr="00A959ED">
        <w:rPr>
          <w:rFonts w:ascii="Times New Roman" w:eastAsia="Times New Roman" w:hAnsi="Times New Roman"/>
          <w:sz w:val="24"/>
          <w:szCs w:val="24"/>
          <w:lang w:val="en-US" w:eastAsia="ru-RU"/>
        </w:rPr>
        <w:t>quarter of 201</w:t>
      </w:r>
      <w:r>
        <w:rPr>
          <w:rFonts w:ascii="Times New Roman" w:eastAsia="Times New Roman" w:hAnsi="Times New Roman"/>
          <w:sz w:val="24"/>
          <w:szCs w:val="24"/>
          <w:lang w:val="en-US" w:eastAsia="ru-RU"/>
        </w:rPr>
        <w:t>5</w:t>
      </w:r>
      <w:r w:rsidRPr="00A959ED">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compared to the las</w:t>
      </w:r>
      <w:r w:rsidR="004F641B">
        <w:rPr>
          <w:rFonts w:ascii="Times New Roman" w:eastAsia="Times New Roman" w:hAnsi="Times New Roman"/>
          <w:sz w:val="24"/>
          <w:szCs w:val="24"/>
          <w:lang w:val="en-US" w:eastAsia="ru-RU"/>
        </w:rPr>
        <w:t>t quarter decreased by T1.9 million</w:t>
      </w:r>
      <w:r>
        <w:rPr>
          <w:rFonts w:ascii="Times New Roman" w:eastAsia="Times New Roman" w:hAnsi="Times New Roman"/>
          <w:sz w:val="24"/>
          <w:szCs w:val="24"/>
          <w:lang w:val="en-US" w:eastAsia="ru-RU"/>
        </w:rPr>
        <w:t xml:space="preserve"> and </w:t>
      </w:r>
      <w:r w:rsidRPr="00A959ED">
        <w:rPr>
          <w:rFonts w:ascii="Times New Roman" w:eastAsia="Times New Roman" w:hAnsi="Times New Roman"/>
          <w:sz w:val="24"/>
          <w:szCs w:val="24"/>
          <w:lang w:val="en-US" w:eastAsia="ru-RU"/>
        </w:rPr>
        <w:t xml:space="preserve">amounted to </w:t>
      </w:r>
      <w:r>
        <w:rPr>
          <w:rFonts w:ascii="Times New Roman" w:eastAsia="Times New Roman" w:hAnsi="Times New Roman"/>
          <w:sz w:val="24"/>
          <w:szCs w:val="24"/>
          <w:lang w:val="en-US" w:eastAsia="ru-RU"/>
        </w:rPr>
        <w:t>T</w:t>
      </w:r>
      <w:r w:rsidRPr="00A959ED">
        <w:rPr>
          <w:rFonts w:ascii="Times New Roman" w:eastAsia="Times New Roman" w:hAnsi="Times New Roman"/>
          <w:sz w:val="24"/>
          <w:szCs w:val="24"/>
          <w:lang w:val="en-US" w:eastAsia="ru-RU"/>
        </w:rPr>
        <w:t>7.</w:t>
      </w:r>
      <w:r w:rsidR="004F641B">
        <w:rPr>
          <w:rFonts w:ascii="Times New Roman" w:eastAsia="Times New Roman" w:hAnsi="Times New Roman"/>
          <w:sz w:val="24"/>
          <w:szCs w:val="24"/>
          <w:lang w:val="en-US" w:eastAsia="ru-RU"/>
        </w:rPr>
        <w:t>0 billion</w:t>
      </w:r>
      <w:r>
        <w:rPr>
          <w:rFonts w:ascii="Times New Roman" w:eastAsia="Times New Roman" w:hAnsi="Times New Roman"/>
          <w:sz w:val="24"/>
          <w:szCs w:val="24"/>
          <w:lang w:val="en-US" w:eastAsia="ru-RU"/>
        </w:rPr>
        <w:t>. This reduction was due to the decrease in the deposit</w:t>
      </w:r>
      <w:r w:rsidR="0042013C">
        <w:rPr>
          <w:rFonts w:ascii="Times New Roman" w:eastAsia="Times New Roman" w:hAnsi="Times New Roman"/>
          <w:sz w:val="24"/>
          <w:szCs w:val="24"/>
          <w:lang w:val="en-US" w:eastAsia="ru-RU"/>
        </w:rPr>
        <w:t>s</w:t>
      </w:r>
      <w:r>
        <w:rPr>
          <w:rFonts w:ascii="Times New Roman" w:eastAsia="Times New Roman" w:hAnsi="Times New Roman"/>
          <w:sz w:val="24"/>
          <w:szCs w:val="24"/>
          <w:lang w:val="en-US" w:eastAsia="ru-RU"/>
        </w:rPr>
        <w:t xml:space="preserve"> portfolio of DIS member-banks</w:t>
      </w:r>
      <w:r>
        <w:rPr>
          <w:rFonts w:ascii="Times New Roman" w:hAnsi="Times New Roman"/>
          <w:color w:val="000000"/>
          <w:sz w:val="24"/>
          <w:szCs w:val="24"/>
          <w:lang w:val="en-US"/>
        </w:rPr>
        <w:t>.</w:t>
      </w:r>
      <w:r>
        <w:rPr>
          <w:rFonts w:ascii="Times New Roman" w:eastAsia="Times New Roman" w:hAnsi="Times New Roman"/>
          <w:sz w:val="24"/>
          <w:szCs w:val="24"/>
          <w:lang w:val="en-US" w:eastAsia="ru-RU"/>
        </w:rPr>
        <w:t xml:space="preserve">  </w:t>
      </w:r>
    </w:p>
    <w:p w:rsidR="00DF5235" w:rsidRPr="00B855A5" w:rsidRDefault="00561936" w:rsidP="00B855A5">
      <w:pPr>
        <w:spacing w:after="0"/>
        <w:ind w:firstLine="567"/>
        <w:jc w:val="both"/>
        <w:rPr>
          <w:rFonts w:ascii="Times New Roman" w:hAnsi="Times New Roman"/>
          <w:sz w:val="24"/>
          <w:lang w:val="en-US"/>
        </w:rPr>
      </w:pPr>
      <w:r w:rsidRPr="007862C8">
        <w:rPr>
          <w:rFonts w:ascii="Times New Roman" w:hAnsi="Times New Roman"/>
          <w:sz w:val="24"/>
          <w:lang w:val="en-US"/>
        </w:rPr>
        <w:t xml:space="preserve">As of </w:t>
      </w:r>
      <w:r w:rsidR="00340345">
        <w:rPr>
          <w:rFonts w:ascii="Times New Roman" w:hAnsi="Times New Roman"/>
          <w:sz w:val="24"/>
          <w:lang w:val="en-US"/>
        </w:rPr>
        <w:t xml:space="preserve">May </w:t>
      </w:r>
      <w:r w:rsidRPr="007862C8">
        <w:rPr>
          <w:rFonts w:ascii="Times New Roman" w:hAnsi="Times New Roman"/>
          <w:sz w:val="24"/>
          <w:lang w:val="en-US"/>
        </w:rPr>
        <w:t>1,</w:t>
      </w:r>
      <w:r>
        <w:rPr>
          <w:rFonts w:ascii="Times New Roman" w:hAnsi="Times New Roman"/>
          <w:sz w:val="24"/>
          <w:lang w:val="en-US"/>
        </w:rPr>
        <w:t xml:space="preserve"> 2015</w:t>
      </w:r>
      <w:r w:rsidRPr="007862C8">
        <w:rPr>
          <w:rFonts w:ascii="Times New Roman" w:hAnsi="Times New Roman"/>
          <w:sz w:val="24"/>
          <w:lang w:val="en-US"/>
        </w:rPr>
        <w:t xml:space="preserve"> the cumulative KDIF’s payouts to depositors of </w:t>
      </w:r>
      <w:r w:rsidRPr="00340345">
        <w:rPr>
          <w:rFonts w:ascii="Times New Roman" w:hAnsi="Times New Roman"/>
          <w:b/>
          <w:i/>
          <w:sz w:val="24"/>
          <w:lang w:val="en-US"/>
        </w:rPr>
        <w:t>JSC “</w:t>
      </w:r>
      <w:proofErr w:type="spellStart"/>
      <w:r w:rsidRPr="00340345">
        <w:rPr>
          <w:rFonts w:ascii="Times New Roman" w:hAnsi="Times New Roman"/>
          <w:b/>
          <w:i/>
          <w:sz w:val="24"/>
          <w:lang w:val="en-US"/>
        </w:rPr>
        <w:t>Nauryz</w:t>
      </w:r>
      <w:proofErr w:type="spellEnd"/>
      <w:r w:rsidRPr="00340345">
        <w:rPr>
          <w:rFonts w:ascii="Times New Roman" w:hAnsi="Times New Roman"/>
          <w:b/>
          <w:i/>
          <w:sz w:val="24"/>
          <w:lang w:val="en-US"/>
        </w:rPr>
        <w:t xml:space="preserve"> Bank Kazakhstan”</w:t>
      </w:r>
      <w:r w:rsidRPr="007862C8">
        <w:rPr>
          <w:rFonts w:ascii="Times New Roman" w:hAnsi="Times New Roman"/>
          <w:sz w:val="24"/>
          <w:lang w:val="en-US"/>
        </w:rPr>
        <w:t xml:space="preserve"> amounted to</w:t>
      </w:r>
      <w:r w:rsidR="00340345">
        <w:rPr>
          <w:rFonts w:ascii="Times New Roman" w:hAnsi="Times New Roman"/>
          <w:sz w:val="24"/>
          <w:lang w:val="en-US"/>
        </w:rPr>
        <w:t>T</w:t>
      </w:r>
      <w:r w:rsidRPr="007862C8">
        <w:rPr>
          <w:rFonts w:ascii="Times New Roman" w:hAnsi="Times New Roman"/>
          <w:sz w:val="24"/>
          <w:lang w:val="en-US"/>
        </w:rPr>
        <w:t>679.</w:t>
      </w:r>
      <w:r>
        <w:rPr>
          <w:rFonts w:ascii="Times New Roman" w:hAnsi="Times New Roman"/>
          <w:sz w:val="24"/>
          <w:lang w:val="en-US"/>
        </w:rPr>
        <w:t>6</w:t>
      </w:r>
      <w:r w:rsidRPr="007862C8">
        <w:rPr>
          <w:rFonts w:ascii="Times New Roman" w:hAnsi="Times New Roman"/>
          <w:sz w:val="24"/>
          <w:lang w:val="en-US"/>
        </w:rPr>
        <w:t xml:space="preserve"> million and to depositors of </w:t>
      </w:r>
      <w:r w:rsidRPr="00340345">
        <w:rPr>
          <w:rFonts w:ascii="Times New Roman" w:hAnsi="Times New Roman"/>
          <w:b/>
          <w:i/>
          <w:sz w:val="24"/>
          <w:lang w:val="en-US"/>
        </w:rPr>
        <w:t>JSC “</w:t>
      </w:r>
      <w:proofErr w:type="spellStart"/>
      <w:r w:rsidRPr="00340345">
        <w:rPr>
          <w:rFonts w:ascii="Times New Roman" w:hAnsi="Times New Roman"/>
          <w:b/>
          <w:i/>
          <w:sz w:val="24"/>
          <w:lang w:val="en-US"/>
        </w:rPr>
        <w:t>Valut-Tranzit</w:t>
      </w:r>
      <w:proofErr w:type="spellEnd"/>
      <w:r w:rsidRPr="00340345">
        <w:rPr>
          <w:rFonts w:ascii="Times New Roman" w:hAnsi="Times New Roman"/>
          <w:b/>
          <w:i/>
          <w:sz w:val="24"/>
          <w:lang w:val="en-US"/>
        </w:rPr>
        <w:t xml:space="preserve"> Bank”</w:t>
      </w:r>
      <w:r w:rsidR="00340345">
        <w:rPr>
          <w:rFonts w:ascii="Times New Roman" w:hAnsi="Times New Roman"/>
          <w:sz w:val="24"/>
          <w:lang w:val="en-US"/>
        </w:rPr>
        <w:t xml:space="preserve"> totaled T13.9 billion</w:t>
      </w:r>
      <w:r w:rsidRPr="007862C8">
        <w:rPr>
          <w:rFonts w:ascii="Times New Roman" w:hAnsi="Times New Roman"/>
          <w:sz w:val="24"/>
          <w:lang w:val="en-US"/>
        </w:rPr>
        <w:t xml:space="preserve">. Reimbursement of the KDIF’s claims to the liquidation commissions of </w:t>
      </w:r>
      <w:r w:rsidRPr="00340345">
        <w:rPr>
          <w:rFonts w:ascii="Times New Roman" w:hAnsi="Times New Roman"/>
          <w:b/>
          <w:i/>
          <w:sz w:val="24"/>
          <w:lang w:val="en-US"/>
        </w:rPr>
        <w:t>JSC “</w:t>
      </w:r>
      <w:proofErr w:type="spellStart"/>
      <w:r w:rsidRPr="00340345">
        <w:rPr>
          <w:rFonts w:ascii="Times New Roman" w:hAnsi="Times New Roman"/>
          <w:b/>
          <w:i/>
          <w:sz w:val="24"/>
          <w:lang w:val="en-US"/>
        </w:rPr>
        <w:t>Nauryz</w:t>
      </w:r>
      <w:proofErr w:type="spellEnd"/>
      <w:r w:rsidRPr="00340345">
        <w:rPr>
          <w:rFonts w:ascii="Times New Roman" w:hAnsi="Times New Roman"/>
          <w:b/>
          <w:i/>
          <w:sz w:val="24"/>
          <w:lang w:val="en-US"/>
        </w:rPr>
        <w:t xml:space="preserve"> Bank Kazakhstan”, JSC “</w:t>
      </w:r>
      <w:proofErr w:type="spellStart"/>
      <w:r w:rsidRPr="00340345">
        <w:rPr>
          <w:rFonts w:ascii="Times New Roman" w:hAnsi="Times New Roman"/>
          <w:b/>
          <w:i/>
          <w:sz w:val="24"/>
          <w:lang w:val="en-US"/>
        </w:rPr>
        <w:t>Valut-Tranzit</w:t>
      </w:r>
      <w:proofErr w:type="spellEnd"/>
      <w:r w:rsidRPr="00340345">
        <w:rPr>
          <w:rFonts w:ascii="Times New Roman" w:hAnsi="Times New Roman"/>
          <w:b/>
          <w:i/>
          <w:sz w:val="24"/>
          <w:lang w:val="en-US"/>
        </w:rPr>
        <w:t xml:space="preserve"> Bank”</w:t>
      </w:r>
      <w:r w:rsidR="00340345">
        <w:rPr>
          <w:rFonts w:ascii="Times New Roman" w:hAnsi="Times New Roman"/>
          <w:sz w:val="24"/>
          <w:lang w:val="en-US"/>
        </w:rPr>
        <w:t xml:space="preserve"> reached T679.4 million </w:t>
      </w:r>
      <w:r w:rsidRPr="007862C8">
        <w:rPr>
          <w:rFonts w:ascii="Times New Roman" w:hAnsi="Times New Roman"/>
          <w:sz w:val="24"/>
          <w:lang w:val="en-US"/>
        </w:rPr>
        <w:t xml:space="preserve">(88.0% of the total amount to be recovered from this bank) and </w:t>
      </w:r>
      <w:r w:rsidR="00340345">
        <w:rPr>
          <w:rFonts w:ascii="Times New Roman" w:hAnsi="Times New Roman"/>
          <w:sz w:val="24"/>
          <w:lang w:val="en-US"/>
        </w:rPr>
        <w:t>T</w:t>
      </w:r>
      <w:r w:rsidRPr="007862C8">
        <w:rPr>
          <w:rFonts w:ascii="Times New Roman" w:hAnsi="Times New Roman"/>
          <w:sz w:val="24"/>
          <w:lang w:val="en-US"/>
        </w:rPr>
        <w:t>8.</w:t>
      </w:r>
      <w:r>
        <w:rPr>
          <w:rFonts w:ascii="Times New Roman" w:hAnsi="Times New Roman"/>
          <w:sz w:val="24"/>
          <w:lang w:val="en-US"/>
        </w:rPr>
        <w:t>7</w:t>
      </w:r>
      <w:r w:rsidR="00340345">
        <w:rPr>
          <w:rFonts w:ascii="Times New Roman" w:hAnsi="Times New Roman"/>
          <w:sz w:val="24"/>
          <w:lang w:val="en-US"/>
        </w:rPr>
        <w:t xml:space="preserve"> billion </w:t>
      </w:r>
      <w:r w:rsidRPr="007862C8">
        <w:rPr>
          <w:rFonts w:ascii="Times New Roman" w:hAnsi="Times New Roman"/>
          <w:sz w:val="24"/>
          <w:lang w:val="en-US"/>
        </w:rPr>
        <w:t>(61.</w:t>
      </w:r>
      <w:r w:rsidR="00340345">
        <w:rPr>
          <w:rFonts w:ascii="Times New Roman" w:hAnsi="Times New Roman"/>
          <w:sz w:val="24"/>
          <w:lang w:val="en-US"/>
        </w:rPr>
        <w:t>7</w:t>
      </w:r>
      <w:r w:rsidRPr="007862C8">
        <w:rPr>
          <w:rFonts w:ascii="Times New Roman" w:hAnsi="Times New Roman"/>
          <w:sz w:val="24"/>
          <w:lang w:val="en-US"/>
        </w:rPr>
        <w:t xml:space="preserve">% of the total amount to be recovered), respectively. </w:t>
      </w:r>
      <w:bookmarkStart w:id="0" w:name="_GoBack"/>
      <w:bookmarkEnd w:id="0"/>
    </w:p>
    <w:p w:rsidR="00DF5235" w:rsidRPr="000F76BF" w:rsidRDefault="000F76BF" w:rsidP="00DF5235">
      <w:pPr>
        <w:tabs>
          <w:tab w:val="left" w:pos="6885"/>
        </w:tabs>
        <w:spacing w:after="120"/>
        <w:ind w:firstLine="567"/>
        <w:jc w:val="right"/>
        <w:rPr>
          <w:rFonts w:ascii="Times New Roman" w:hAnsi="Times New Roman"/>
          <w:i/>
          <w:sz w:val="24"/>
          <w:szCs w:val="24"/>
          <w:lang w:val="en-US"/>
        </w:rPr>
      </w:pPr>
      <w:r w:rsidRPr="001B3D06">
        <w:rPr>
          <w:rFonts w:ascii="Times New Roman" w:hAnsi="Times New Roman"/>
          <w:i/>
          <w:sz w:val="24"/>
          <w:szCs w:val="24"/>
          <w:lang w:val="en-US"/>
        </w:rPr>
        <w:lastRenderedPageBreak/>
        <w:t>Appendix</w:t>
      </w:r>
      <w:r w:rsidR="00DF5235" w:rsidRPr="000F76BF">
        <w:rPr>
          <w:rFonts w:ascii="Times New Roman" w:hAnsi="Times New Roman"/>
          <w:i/>
          <w:sz w:val="24"/>
          <w:szCs w:val="24"/>
          <w:lang w:val="en-US"/>
        </w:rPr>
        <w:t xml:space="preserve"> </w:t>
      </w:r>
    </w:p>
    <w:p w:rsidR="000F76BF" w:rsidRDefault="000F76BF" w:rsidP="003C32E9">
      <w:pPr>
        <w:tabs>
          <w:tab w:val="left" w:pos="6885"/>
        </w:tabs>
        <w:spacing w:after="120"/>
        <w:ind w:firstLine="567"/>
        <w:jc w:val="center"/>
        <w:rPr>
          <w:rFonts w:ascii="Times New Roman" w:eastAsia="Times New Roman" w:hAnsi="Times New Roman"/>
          <w:b/>
          <w:bCs/>
          <w:color w:val="000000"/>
          <w:sz w:val="24"/>
          <w:szCs w:val="24"/>
          <w:lang w:val="en-US" w:eastAsia="ru-RU"/>
        </w:rPr>
      </w:pPr>
      <w:r w:rsidRPr="000F76BF">
        <w:rPr>
          <w:rFonts w:ascii="Times New Roman" w:eastAsia="Times New Roman" w:hAnsi="Times New Roman"/>
          <w:b/>
          <w:bCs/>
          <w:color w:val="000000"/>
          <w:sz w:val="24"/>
          <w:szCs w:val="24"/>
          <w:lang w:val="en-US" w:eastAsia="ru-RU"/>
        </w:rPr>
        <w:t xml:space="preserve">Aggregate retail deposits placed with DIS member-banks </w:t>
      </w:r>
    </w:p>
    <w:p w:rsidR="003C32E9" w:rsidRPr="000F76BF" w:rsidRDefault="000F76BF" w:rsidP="003C32E9">
      <w:pPr>
        <w:tabs>
          <w:tab w:val="left" w:pos="6885"/>
        </w:tabs>
        <w:spacing w:after="120"/>
        <w:ind w:firstLine="567"/>
        <w:jc w:val="center"/>
        <w:rPr>
          <w:rFonts w:ascii="Times New Roman" w:hAnsi="Times New Roman"/>
          <w:i/>
          <w:sz w:val="24"/>
          <w:szCs w:val="24"/>
          <w:lang w:val="en-US"/>
        </w:rPr>
      </w:pPr>
      <w:proofErr w:type="gramStart"/>
      <w:r>
        <w:rPr>
          <w:rFonts w:ascii="Times New Roman" w:eastAsia="Times New Roman" w:hAnsi="Times New Roman"/>
          <w:b/>
          <w:color w:val="000000"/>
          <w:sz w:val="24"/>
          <w:lang w:val="en-US" w:eastAsia="ru-RU"/>
        </w:rPr>
        <w:t>a</w:t>
      </w:r>
      <w:r>
        <w:rPr>
          <w:rFonts w:ascii="Times New Roman" w:eastAsia="Times New Roman" w:hAnsi="Times New Roman"/>
          <w:b/>
          <w:color w:val="000000"/>
          <w:sz w:val="24"/>
          <w:lang w:eastAsia="ru-RU"/>
        </w:rPr>
        <w:t>s</w:t>
      </w:r>
      <w:proofErr w:type="gramEnd"/>
      <w:r>
        <w:rPr>
          <w:rFonts w:ascii="Times New Roman" w:eastAsia="Times New Roman" w:hAnsi="Times New Roman"/>
          <w:b/>
          <w:color w:val="000000"/>
          <w:sz w:val="24"/>
          <w:lang w:eastAsia="ru-RU"/>
        </w:rPr>
        <w:t xml:space="preserve"> </w:t>
      </w:r>
      <w:r w:rsidRPr="00106879">
        <w:rPr>
          <w:rFonts w:ascii="Times New Roman" w:eastAsia="Times New Roman" w:hAnsi="Times New Roman"/>
          <w:b/>
          <w:color w:val="000000"/>
          <w:sz w:val="24"/>
          <w:lang w:val="en-US" w:eastAsia="ru-RU"/>
        </w:rPr>
        <w:t>of</w:t>
      </w:r>
      <w:r>
        <w:rPr>
          <w:rFonts w:ascii="Times New Roman" w:eastAsia="Times New Roman" w:hAnsi="Times New Roman"/>
          <w:b/>
          <w:color w:val="000000"/>
          <w:sz w:val="24"/>
          <w:lang w:eastAsia="ru-RU"/>
        </w:rPr>
        <w:t xml:space="preserve"> </w:t>
      </w:r>
      <w:r>
        <w:rPr>
          <w:rFonts w:ascii="Times New Roman" w:eastAsia="Times New Roman" w:hAnsi="Times New Roman"/>
          <w:b/>
          <w:color w:val="000000"/>
          <w:sz w:val="24"/>
          <w:lang w:val="en-US" w:eastAsia="ru-RU"/>
        </w:rPr>
        <w:t>April</w:t>
      </w:r>
      <w:r>
        <w:rPr>
          <w:rFonts w:ascii="Times New Roman" w:eastAsia="Times New Roman" w:hAnsi="Times New Roman"/>
          <w:b/>
          <w:color w:val="000000"/>
          <w:sz w:val="24"/>
          <w:lang w:eastAsia="ru-RU"/>
        </w:rPr>
        <w:t xml:space="preserve"> 1, 201</w:t>
      </w:r>
      <w:r>
        <w:rPr>
          <w:rFonts w:ascii="Times New Roman" w:eastAsia="Times New Roman" w:hAnsi="Times New Roman"/>
          <w:b/>
          <w:color w:val="000000"/>
          <w:sz w:val="24"/>
          <w:lang w:val="en-US" w:eastAsia="ru-RU"/>
        </w:rPr>
        <w:t>5</w:t>
      </w:r>
    </w:p>
    <w:tbl>
      <w:tblPr>
        <w:tblW w:w="9497" w:type="dxa"/>
        <w:jc w:val="center"/>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4165"/>
        <w:gridCol w:w="1512"/>
        <w:gridCol w:w="1707"/>
        <w:gridCol w:w="1494"/>
      </w:tblGrid>
      <w:tr w:rsidR="000F76BF" w:rsidRPr="00D52CA6" w:rsidTr="00102994">
        <w:trPr>
          <w:trHeight w:val="509"/>
          <w:jc w:val="center"/>
        </w:trPr>
        <w:tc>
          <w:tcPr>
            <w:tcW w:w="619" w:type="dxa"/>
            <w:shd w:val="clear" w:color="000000" w:fill="DBE5F1" w:themeFill="accent1" w:themeFillTint="33"/>
            <w:vAlign w:val="center"/>
            <w:hideMark/>
          </w:tcPr>
          <w:p w:rsidR="000F76BF" w:rsidRPr="00D82A04" w:rsidRDefault="000F76BF" w:rsidP="00E1562A">
            <w:pPr>
              <w:spacing w:after="0" w:line="240" w:lineRule="auto"/>
              <w:jc w:val="center"/>
              <w:rPr>
                <w:rFonts w:ascii="Times New Roman" w:eastAsia="Times New Roman" w:hAnsi="Times New Roman"/>
                <w:b/>
                <w:bCs/>
                <w:color w:val="000000"/>
                <w:sz w:val="18"/>
                <w:szCs w:val="18"/>
                <w:lang w:eastAsia="ru-RU"/>
              </w:rPr>
            </w:pPr>
            <w:r w:rsidRPr="00D82A04">
              <w:rPr>
                <w:rFonts w:ascii="Times New Roman" w:eastAsia="Times New Roman" w:hAnsi="Times New Roman"/>
                <w:b/>
                <w:bCs/>
                <w:color w:val="000000"/>
                <w:sz w:val="18"/>
                <w:szCs w:val="18"/>
                <w:lang w:eastAsia="ru-RU"/>
              </w:rPr>
              <w:t>№</w:t>
            </w:r>
          </w:p>
        </w:tc>
        <w:tc>
          <w:tcPr>
            <w:tcW w:w="4165" w:type="dxa"/>
            <w:shd w:val="clear" w:color="000000" w:fill="DBE5F1" w:themeFill="accent1" w:themeFillTint="33"/>
            <w:vAlign w:val="center"/>
            <w:hideMark/>
          </w:tcPr>
          <w:p w:rsidR="000F76BF" w:rsidRPr="00D82A04" w:rsidRDefault="000F76BF" w:rsidP="00E1562A">
            <w:pPr>
              <w:spacing w:after="0" w:line="240" w:lineRule="auto"/>
              <w:jc w:val="center"/>
              <w:rPr>
                <w:rFonts w:ascii="Times New Roman" w:eastAsia="Times New Roman" w:hAnsi="Times New Roman"/>
                <w:b/>
                <w:bCs/>
                <w:color w:val="000000"/>
                <w:sz w:val="18"/>
                <w:szCs w:val="18"/>
                <w:lang w:eastAsia="ru-RU"/>
              </w:rPr>
            </w:pPr>
            <w:r w:rsidRPr="00A54A93">
              <w:rPr>
                <w:rFonts w:ascii="Times New Roman" w:eastAsia="Times New Roman" w:hAnsi="Times New Roman"/>
                <w:b/>
                <w:bCs/>
                <w:color w:val="000000"/>
                <w:sz w:val="18"/>
                <w:szCs w:val="18"/>
                <w:lang w:val="en-US" w:eastAsia="ru-RU"/>
              </w:rPr>
              <w:t>Name</w:t>
            </w:r>
          </w:p>
        </w:tc>
        <w:tc>
          <w:tcPr>
            <w:tcW w:w="1512" w:type="dxa"/>
            <w:shd w:val="clear" w:color="000000" w:fill="DBE5F1" w:themeFill="accent1" w:themeFillTint="33"/>
            <w:vAlign w:val="center"/>
            <w:hideMark/>
          </w:tcPr>
          <w:p w:rsidR="000F76BF" w:rsidRDefault="000F76BF" w:rsidP="00E1562A">
            <w:pPr>
              <w:spacing w:after="0" w:line="240" w:lineRule="auto"/>
              <w:jc w:val="center"/>
              <w:rPr>
                <w:rFonts w:ascii="Times New Roman" w:eastAsia="Times New Roman" w:hAnsi="Times New Roman"/>
                <w:b/>
                <w:bCs/>
                <w:color w:val="000000"/>
                <w:sz w:val="18"/>
                <w:szCs w:val="18"/>
                <w:lang w:val="en-US" w:eastAsia="ru-RU"/>
              </w:rPr>
            </w:pPr>
            <w:r w:rsidRPr="00DE599B">
              <w:rPr>
                <w:rFonts w:ascii="Times New Roman" w:eastAsia="Times New Roman" w:hAnsi="Times New Roman"/>
                <w:b/>
                <w:bCs/>
                <w:color w:val="000000"/>
                <w:sz w:val="18"/>
                <w:szCs w:val="18"/>
                <w:lang w:val="en-US" w:eastAsia="ru-RU"/>
              </w:rPr>
              <w:t>Total amount of retail deposits</w:t>
            </w:r>
          </w:p>
          <w:p w:rsidR="000F76BF" w:rsidRPr="000E4516" w:rsidRDefault="000F76BF" w:rsidP="00E1562A">
            <w:pPr>
              <w:spacing w:after="0" w:line="240" w:lineRule="auto"/>
              <w:jc w:val="center"/>
              <w:rPr>
                <w:rFonts w:ascii="Times New Roman" w:eastAsia="Times New Roman" w:hAnsi="Times New Roman"/>
                <w:b/>
                <w:bCs/>
                <w:color w:val="000000"/>
                <w:sz w:val="18"/>
                <w:szCs w:val="18"/>
                <w:lang w:val="en-US" w:eastAsia="ru-RU"/>
              </w:rPr>
            </w:pPr>
            <w:r w:rsidRPr="000E4516">
              <w:rPr>
                <w:rFonts w:ascii="Times New Roman" w:eastAsia="Times New Roman" w:hAnsi="Times New Roman"/>
                <w:b/>
                <w:bCs/>
                <w:color w:val="000000"/>
                <w:sz w:val="16"/>
                <w:szCs w:val="18"/>
                <w:lang w:val="en-US" w:eastAsia="ru-RU"/>
              </w:rPr>
              <w:t>(</w:t>
            </w:r>
            <w:r>
              <w:rPr>
                <w:rFonts w:ascii="Times New Roman" w:eastAsia="Times New Roman" w:hAnsi="Times New Roman"/>
                <w:b/>
                <w:bCs/>
                <w:color w:val="000000"/>
                <w:sz w:val="16"/>
                <w:szCs w:val="18"/>
                <w:lang w:val="en-US" w:eastAsia="ru-RU"/>
              </w:rPr>
              <w:t>in thousand T</w:t>
            </w:r>
            <w:r w:rsidRPr="000E4516">
              <w:rPr>
                <w:rFonts w:ascii="Times New Roman" w:eastAsia="Times New Roman" w:hAnsi="Times New Roman"/>
                <w:b/>
                <w:bCs/>
                <w:color w:val="000000"/>
                <w:sz w:val="16"/>
                <w:szCs w:val="18"/>
                <w:lang w:val="en-US" w:eastAsia="ru-RU"/>
              </w:rPr>
              <w:t>enge)</w:t>
            </w:r>
          </w:p>
        </w:tc>
        <w:tc>
          <w:tcPr>
            <w:tcW w:w="1707" w:type="dxa"/>
            <w:shd w:val="clear" w:color="000000" w:fill="DBE5F1" w:themeFill="accent1" w:themeFillTint="33"/>
            <w:vAlign w:val="center"/>
            <w:hideMark/>
          </w:tcPr>
          <w:p w:rsidR="000F76BF" w:rsidRPr="00DE599B" w:rsidRDefault="000F76BF" w:rsidP="00E1562A">
            <w:pPr>
              <w:spacing w:after="0" w:line="240" w:lineRule="auto"/>
              <w:jc w:val="center"/>
              <w:rPr>
                <w:rFonts w:ascii="Times New Roman" w:eastAsia="Times New Roman" w:hAnsi="Times New Roman"/>
                <w:i/>
                <w:iCs/>
                <w:color w:val="000000"/>
                <w:sz w:val="18"/>
                <w:szCs w:val="18"/>
                <w:lang w:val="en-US" w:eastAsia="ru-RU"/>
              </w:rPr>
            </w:pPr>
            <w:r w:rsidRPr="00DE599B">
              <w:rPr>
                <w:rFonts w:ascii="Times New Roman" w:eastAsia="Times New Roman" w:hAnsi="Times New Roman"/>
                <w:i/>
                <w:iCs/>
                <w:color w:val="000000"/>
                <w:sz w:val="18"/>
                <w:szCs w:val="18"/>
                <w:lang w:val="en-US" w:eastAsia="ru-RU"/>
              </w:rPr>
              <w:t>Difference in deposits amount compared to the last quarter</w:t>
            </w:r>
          </w:p>
        </w:tc>
        <w:tc>
          <w:tcPr>
            <w:tcW w:w="1494" w:type="dxa"/>
            <w:shd w:val="clear" w:color="000000" w:fill="DBE5F1" w:themeFill="accent1" w:themeFillTint="33"/>
            <w:vAlign w:val="center"/>
            <w:hideMark/>
          </w:tcPr>
          <w:p w:rsidR="000F76BF" w:rsidRPr="00DE599B" w:rsidRDefault="000F76BF" w:rsidP="00E1562A">
            <w:pPr>
              <w:spacing w:after="0" w:line="240" w:lineRule="auto"/>
              <w:jc w:val="center"/>
              <w:rPr>
                <w:rFonts w:ascii="Times New Roman" w:eastAsia="Times New Roman" w:hAnsi="Times New Roman"/>
                <w:b/>
                <w:bCs/>
                <w:color w:val="000000"/>
                <w:sz w:val="18"/>
                <w:szCs w:val="18"/>
                <w:lang w:val="en-US" w:eastAsia="ru-RU"/>
              </w:rPr>
            </w:pPr>
            <w:r w:rsidRPr="00DE599B">
              <w:rPr>
                <w:rFonts w:ascii="Times New Roman" w:eastAsia="Times New Roman" w:hAnsi="Times New Roman"/>
                <w:b/>
                <w:bCs/>
                <w:color w:val="000000"/>
                <w:sz w:val="18"/>
                <w:szCs w:val="18"/>
                <w:lang w:val="en-US" w:eastAsia="ru-RU"/>
              </w:rPr>
              <w:t>Total number of deposit accounts</w:t>
            </w:r>
          </w:p>
        </w:tc>
      </w:tr>
      <w:tr w:rsidR="000F76BF" w:rsidRPr="00102994" w:rsidTr="001D6CAD">
        <w:trPr>
          <w:trHeight w:val="296"/>
          <w:jc w:val="center"/>
        </w:trPr>
        <w:tc>
          <w:tcPr>
            <w:tcW w:w="619" w:type="dxa"/>
            <w:shd w:val="clear" w:color="auto" w:fill="auto"/>
            <w:vAlign w:val="center"/>
            <w:hideMark/>
          </w:tcPr>
          <w:p w:rsidR="000F76BF" w:rsidRPr="000F76BF" w:rsidRDefault="000F76BF" w:rsidP="00E1562A">
            <w:pPr>
              <w:spacing w:after="0" w:line="240" w:lineRule="auto"/>
              <w:jc w:val="center"/>
              <w:rPr>
                <w:rFonts w:ascii="Times New Roman" w:eastAsia="Times New Roman" w:hAnsi="Times New Roman"/>
                <w:sz w:val="18"/>
                <w:szCs w:val="18"/>
                <w:lang w:eastAsia="ru-RU"/>
              </w:rPr>
            </w:pPr>
            <w:r w:rsidRPr="000F76BF">
              <w:rPr>
                <w:rFonts w:ascii="Times New Roman" w:eastAsia="Times New Roman" w:hAnsi="Times New Roman"/>
                <w:sz w:val="18"/>
                <w:szCs w:val="18"/>
                <w:lang w:eastAsia="ru-RU"/>
              </w:rPr>
              <w:t>1</w:t>
            </w:r>
          </w:p>
        </w:tc>
        <w:tc>
          <w:tcPr>
            <w:tcW w:w="4165" w:type="dxa"/>
            <w:shd w:val="clear" w:color="auto" w:fill="auto"/>
            <w:vAlign w:val="center"/>
            <w:hideMark/>
          </w:tcPr>
          <w:p w:rsidR="000F76BF" w:rsidRPr="000F76BF" w:rsidRDefault="000F76BF" w:rsidP="00E1562A">
            <w:pPr>
              <w:spacing w:after="0" w:line="240" w:lineRule="auto"/>
              <w:rPr>
                <w:rFonts w:ascii="Times New Roman" w:eastAsia="Times New Roman" w:hAnsi="Times New Roman"/>
                <w:sz w:val="18"/>
                <w:szCs w:val="18"/>
                <w:lang w:val="en-US" w:eastAsia="ru-RU"/>
              </w:rPr>
            </w:pPr>
            <w:r w:rsidRPr="000F76BF">
              <w:rPr>
                <w:rFonts w:ascii="Times New Roman" w:eastAsia="Times New Roman" w:hAnsi="Times New Roman"/>
                <w:sz w:val="18"/>
                <w:szCs w:val="18"/>
                <w:lang w:val="en-US" w:eastAsia="ru-RU"/>
              </w:rPr>
              <w:t>Total amount of retail deposits placed both in tenge and in foreign currencies</w:t>
            </w:r>
            <w:r w:rsidRPr="000F76BF">
              <w:rPr>
                <w:lang w:val="en-US"/>
              </w:rPr>
              <w:t xml:space="preserve">, </w:t>
            </w:r>
            <w:r w:rsidRPr="000F76BF">
              <w:rPr>
                <w:rFonts w:ascii="Times New Roman" w:eastAsia="Times New Roman" w:hAnsi="Times New Roman"/>
                <w:sz w:val="18"/>
                <w:szCs w:val="18"/>
                <w:lang w:val="en-US" w:eastAsia="ru-RU"/>
              </w:rPr>
              <w:t>including:</w:t>
            </w:r>
          </w:p>
        </w:tc>
        <w:tc>
          <w:tcPr>
            <w:tcW w:w="1512" w:type="dxa"/>
            <w:shd w:val="clear" w:color="auto" w:fill="auto"/>
          </w:tcPr>
          <w:p w:rsidR="000F76BF" w:rsidRPr="00102994" w:rsidRDefault="000F76BF" w:rsidP="00852CE9">
            <w:pPr>
              <w:spacing w:line="240" w:lineRule="auto"/>
              <w:jc w:val="right"/>
              <w:rPr>
                <w:rFonts w:ascii="Times New Roman" w:hAnsi="Times New Roman"/>
                <w:bCs/>
                <w:color w:val="000000"/>
                <w:sz w:val="18"/>
                <w:szCs w:val="16"/>
              </w:rPr>
            </w:pPr>
            <w:r w:rsidRPr="00102994">
              <w:rPr>
                <w:rFonts w:ascii="Times New Roman" w:hAnsi="Times New Roman"/>
                <w:bCs/>
                <w:color w:val="000000"/>
                <w:sz w:val="18"/>
                <w:szCs w:val="16"/>
              </w:rPr>
              <w:t>4 297 637 839</w:t>
            </w:r>
          </w:p>
        </w:tc>
        <w:tc>
          <w:tcPr>
            <w:tcW w:w="1707" w:type="dxa"/>
            <w:shd w:val="clear" w:color="auto" w:fill="auto"/>
            <w:noWrap/>
          </w:tcPr>
          <w:p w:rsidR="000F76BF" w:rsidRPr="00102994" w:rsidRDefault="000F76BF" w:rsidP="00852CE9">
            <w:pPr>
              <w:jc w:val="right"/>
              <w:rPr>
                <w:rFonts w:ascii="Times New Roman" w:hAnsi="Times New Roman"/>
                <w:bCs/>
                <w:i/>
                <w:iCs/>
                <w:color w:val="000000"/>
                <w:sz w:val="18"/>
                <w:szCs w:val="16"/>
              </w:rPr>
            </w:pPr>
            <w:r w:rsidRPr="00102994">
              <w:rPr>
                <w:rFonts w:ascii="Times New Roman" w:hAnsi="Times New Roman"/>
                <w:bCs/>
                <w:i/>
                <w:iCs/>
                <w:color w:val="000000"/>
                <w:sz w:val="18"/>
                <w:szCs w:val="16"/>
              </w:rPr>
              <w:t>-140 127 397</w:t>
            </w:r>
          </w:p>
        </w:tc>
        <w:tc>
          <w:tcPr>
            <w:tcW w:w="1494" w:type="dxa"/>
            <w:shd w:val="clear" w:color="auto" w:fill="auto"/>
          </w:tcPr>
          <w:p w:rsidR="000F76BF" w:rsidRPr="00102994" w:rsidRDefault="000F76BF" w:rsidP="00852CE9">
            <w:pPr>
              <w:spacing w:line="240" w:lineRule="auto"/>
              <w:jc w:val="right"/>
              <w:rPr>
                <w:rFonts w:ascii="Times New Roman" w:hAnsi="Times New Roman"/>
                <w:bCs/>
                <w:color w:val="000000"/>
                <w:sz w:val="18"/>
                <w:szCs w:val="16"/>
              </w:rPr>
            </w:pPr>
            <w:r w:rsidRPr="00102994">
              <w:rPr>
                <w:rFonts w:ascii="Times New Roman" w:hAnsi="Times New Roman"/>
                <w:bCs/>
                <w:color w:val="000000"/>
                <w:sz w:val="18"/>
                <w:szCs w:val="16"/>
              </w:rPr>
              <w:t>22 730 055</w:t>
            </w:r>
          </w:p>
        </w:tc>
      </w:tr>
      <w:tr w:rsidR="000F76BF" w:rsidRPr="00102994" w:rsidTr="001D6CAD">
        <w:trPr>
          <w:trHeight w:val="173"/>
          <w:jc w:val="center"/>
        </w:trPr>
        <w:tc>
          <w:tcPr>
            <w:tcW w:w="619" w:type="dxa"/>
            <w:shd w:val="clear" w:color="auto" w:fill="auto"/>
            <w:vAlign w:val="center"/>
            <w:hideMark/>
          </w:tcPr>
          <w:p w:rsidR="000F76BF" w:rsidRPr="00D82A04" w:rsidRDefault="000F76BF" w:rsidP="00E1562A">
            <w:pPr>
              <w:spacing w:after="0" w:line="240" w:lineRule="auto"/>
              <w:jc w:val="center"/>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1.</w:t>
            </w:r>
          </w:p>
        </w:tc>
        <w:tc>
          <w:tcPr>
            <w:tcW w:w="4165" w:type="dxa"/>
            <w:shd w:val="clear" w:color="auto" w:fill="auto"/>
            <w:vAlign w:val="center"/>
            <w:hideMark/>
          </w:tcPr>
          <w:p w:rsidR="000F76BF" w:rsidRPr="00D82A04" w:rsidRDefault="000F76BF" w:rsidP="00E1562A">
            <w:pPr>
              <w:spacing w:after="0" w:line="240" w:lineRule="auto"/>
              <w:rPr>
                <w:rFonts w:ascii="Times New Roman" w:eastAsia="Times New Roman" w:hAnsi="Times New Roman"/>
                <w:sz w:val="18"/>
                <w:szCs w:val="18"/>
                <w:lang w:eastAsia="ru-RU"/>
              </w:rPr>
            </w:pPr>
            <w:r w:rsidRPr="00A54A93">
              <w:rPr>
                <w:rFonts w:ascii="Times New Roman" w:eastAsia="Times New Roman" w:hAnsi="Times New Roman"/>
                <w:sz w:val="18"/>
                <w:szCs w:val="18"/>
                <w:lang w:val="en-US" w:eastAsia="ru-RU"/>
              </w:rPr>
              <w:t>Call</w:t>
            </w:r>
            <w:r w:rsidRPr="00DE599B">
              <w:rPr>
                <w:rFonts w:ascii="Times New Roman" w:eastAsia="Times New Roman" w:hAnsi="Times New Roman"/>
                <w:sz w:val="18"/>
                <w:szCs w:val="18"/>
                <w:lang w:eastAsia="ru-RU"/>
              </w:rPr>
              <w:t xml:space="preserve"> </w:t>
            </w:r>
            <w:r w:rsidRPr="00A54A93">
              <w:rPr>
                <w:rFonts w:ascii="Times New Roman" w:eastAsia="Times New Roman" w:hAnsi="Times New Roman"/>
                <w:sz w:val="18"/>
                <w:szCs w:val="18"/>
                <w:lang w:val="en-US" w:eastAsia="ru-RU"/>
              </w:rPr>
              <w:t>deposits</w:t>
            </w:r>
            <w:r w:rsidRPr="00DE599B">
              <w:rPr>
                <w:rFonts w:ascii="Times New Roman" w:eastAsia="Times New Roman" w:hAnsi="Times New Roman"/>
                <w:sz w:val="18"/>
                <w:szCs w:val="18"/>
                <w:lang w:eastAsia="ru-RU"/>
              </w:rPr>
              <w:t xml:space="preserve">, </w:t>
            </w:r>
            <w:r w:rsidRPr="00A54A93">
              <w:rPr>
                <w:rFonts w:ascii="Times New Roman" w:eastAsia="Times New Roman" w:hAnsi="Times New Roman"/>
                <w:sz w:val="18"/>
                <w:szCs w:val="18"/>
                <w:lang w:val="en-US" w:eastAsia="ru-RU"/>
              </w:rPr>
              <w:t>including</w:t>
            </w:r>
            <w:r w:rsidRPr="00DE599B">
              <w:rPr>
                <w:rFonts w:ascii="Times New Roman" w:eastAsia="Times New Roman" w:hAnsi="Times New Roman"/>
                <w:sz w:val="18"/>
                <w:szCs w:val="18"/>
                <w:lang w:eastAsia="ru-RU"/>
              </w:rPr>
              <w:t>:</w:t>
            </w:r>
          </w:p>
        </w:tc>
        <w:tc>
          <w:tcPr>
            <w:tcW w:w="1512" w:type="dxa"/>
            <w:shd w:val="clear" w:color="auto" w:fill="auto"/>
          </w:tcPr>
          <w:p w:rsidR="000F76BF" w:rsidRPr="00102994" w:rsidRDefault="000F76BF" w:rsidP="00852CE9">
            <w:pPr>
              <w:spacing w:line="240" w:lineRule="auto"/>
              <w:jc w:val="right"/>
              <w:rPr>
                <w:rFonts w:ascii="Times New Roman" w:hAnsi="Times New Roman"/>
                <w:bCs/>
                <w:color w:val="000000"/>
                <w:sz w:val="18"/>
                <w:szCs w:val="16"/>
              </w:rPr>
            </w:pPr>
            <w:r w:rsidRPr="00102994">
              <w:rPr>
                <w:rFonts w:ascii="Times New Roman" w:hAnsi="Times New Roman"/>
                <w:bCs/>
                <w:color w:val="000000"/>
                <w:sz w:val="18"/>
                <w:szCs w:val="16"/>
              </w:rPr>
              <w:t>13 837 249</w:t>
            </w:r>
          </w:p>
        </w:tc>
        <w:tc>
          <w:tcPr>
            <w:tcW w:w="1707" w:type="dxa"/>
            <w:shd w:val="clear" w:color="auto" w:fill="auto"/>
            <w:noWrap/>
          </w:tcPr>
          <w:p w:rsidR="000F76BF" w:rsidRPr="00102994" w:rsidRDefault="000F76BF" w:rsidP="00852CE9">
            <w:pPr>
              <w:jc w:val="right"/>
              <w:rPr>
                <w:rFonts w:ascii="Times New Roman" w:hAnsi="Times New Roman"/>
                <w:bCs/>
                <w:i/>
                <w:iCs/>
                <w:color w:val="000000"/>
                <w:sz w:val="18"/>
                <w:szCs w:val="16"/>
              </w:rPr>
            </w:pPr>
            <w:r w:rsidRPr="00102994">
              <w:rPr>
                <w:rFonts w:ascii="Times New Roman" w:hAnsi="Times New Roman"/>
                <w:bCs/>
                <w:i/>
                <w:iCs/>
                <w:color w:val="000000"/>
                <w:sz w:val="18"/>
                <w:szCs w:val="16"/>
              </w:rPr>
              <w:t>-5 713 512</w:t>
            </w:r>
          </w:p>
        </w:tc>
        <w:tc>
          <w:tcPr>
            <w:tcW w:w="1494" w:type="dxa"/>
            <w:shd w:val="clear" w:color="auto" w:fill="auto"/>
          </w:tcPr>
          <w:p w:rsidR="000F76BF" w:rsidRPr="00102994" w:rsidRDefault="000F76BF" w:rsidP="00852CE9">
            <w:pPr>
              <w:jc w:val="right"/>
              <w:rPr>
                <w:rFonts w:ascii="Times New Roman" w:hAnsi="Times New Roman"/>
                <w:bCs/>
                <w:color w:val="000000"/>
                <w:sz w:val="18"/>
                <w:szCs w:val="16"/>
              </w:rPr>
            </w:pPr>
            <w:r w:rsidRPr="00102994">
              <w:rPr>
                <w:rFonts w:ascii="Times New Roman" w:hAnsi="Times New Roman"/>
                <w:bCs/>
                <w:color w:val="000000"/>
                <w:sz w:val="18"/>
                <w:szCs w:val="16"/>
              </w:rPr>
              <w:t>1 009 006</w:t>
            </w:r>
          </w:p>
        </w:tc>
      </w:tr>
      <w:tr w:rsidR="000F76BF" w:rsidRPr="00102994" w:rsidTr="001D6CAD">
        <w:trPr>
          <w:trHeight w:val="136"/>
          <w:jc w:val="center"/>
        </w:trPr>
        <w:tc>
          <w:tcPr>
            <w:tcW w:w="619" w:type="dxa"/>
            <w:shd w:val="clear" w:color="auto" w:fill="auto"/>
            <w:vAlign w:val="center"/>
            <w:hideMark/>
          </w:tcPr>
          <w:p w:rsidR="000F76BF" w:rsidRPr="00D82A04" w:rsidRDefault="000F76BF" w:rsidP="00E1562A">
            <w:pPr>
              <w:spacing w:after="0" w:line="240" w:lineRule="auto"/>
              <w:jc w:val="center"/>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1.1.</w:t>
            </w:r>
          </w:p>
        </w:tc>
        <w:tc>
          <w:tcPr>
            <w:tcW w:w="4165" w:type="dxa"/>
            <w:shd w:val="clear" w:color="auto" w:fill="auto"/>
            <w:vAlign w:val="center"/>
            <w:hideMark/>
          </w:tcPr>
          <w:p w:rsidR="000F76BF" w:rsidRPr="000D61A5" w:rsidRDefault="000F76BF" w:rsidP="00E1562A">
            <w:pPr>
              <w:spacing w:after="0" w:line="240" w:lineRule="auto"/>
              <w:rPr>
                <w:rFonts w:ascii="Times New Roman" w:hAnsi="Times New Roman"/>
                <w:i/>
                <w:color w:val="000000"/>
                <w:sz w:val="18"/>
                <w:szCs w:val="20"/>
              </w:rPr>
            </w:pPr>
            <w:r w:rsidRPr="00A54A93">
              <w:rPr>
                <w:rFonts w:ascii="Times New Roman" w:hAnsi="Times New Roman"/>
                <w:i/>
                <w:color w:val="000000"/>
                <w:sz w:val="18"/>
                <w:szCs w:val="20"/>
                <w:lang w:val="en-US"/>
              </w:rPr>
              <w:t>in</w:t>
            </w:r>
            <w:r w:rsidRPr="000D61A5">
              <w:rPr>
                <w:rFonts w:ascii="Times New Roman" w:hAnsi="Times New Roman"/>
                <w:i/>
                <w:color w:val="000000"/>
                <w:sz w:val="18"/>
                <w:szCs w:val="20"/>
              </w:rPr>
              <w:t xml:space="preserve"> Tenge</w:t>
            </w:r>
          </w:p>
        </w:tc>
        <w:tc>
          <w:tcPr>
            <w:tcW w:w="1512" w:type="dxa"/>
            <w:shd w:val="clear" w:color="auto" w:fill="auto"/>
          </w:tcPr>
          <w:p w:rsidR="000F76BF" w:rsidRPr="00102994" w:rsidRDefault="000F76BF" w:rsidP="00852CE9">
            <w:pPr>
              <w:spacing w:line="240" w:lineRule="auto"/>
              <w:jc w:val="right"/>
              <w:rPr>
                <w:rFonts w:ascii="Times New Roman" w:hAnsi="Times New Roman"/>
                <w:color w:val="000000"/>
                <w:sz w:val="18"/>
                <w:szCs w:val="16"/>
              </w:rPr>
            </w:pPr>
            <w:r w:rsidRPr="00102994">
              <w:rPr>
                <w:rFonts w:ascii="Times New Roman" w:hAnsi="Times New Roman"/>
                <w:color w:val="000000"/>
                <w:sz w:val="18"/>
                <w:szCs w:val="16"/>
              </w:rPr>
              <w:t>4 809 241</w:t>
            </w:r>
          </w:p>
        </w:tc>
        <w:tc>
          <w:tcPr>
            <w:tcW w:w="1707" w:type="dxa"/>
            <w:shd w:val="clear" w:color="auto" w:fill="auto"/>
            <w:noWrap/>
          </w:tcPr>
          <w:p w:rsidR="000F76BF" w:rsidRPr="00102994" w:rsidRDefault="000F76BF" w:rsidP="00852CE9">
            <w:pPr>
              <w:jc w:val="right"/>
              <w:rPr>
                <w:rFonts w:ascii="Times New Roman" w:hAnsi="Times New Roman"/>
                <w:i/>
                <w:iCs/>
                <w:color w:val="000000"/>
                <w:sz w:val="18"/>
                <w:szCs w:val="16"/>
              </w:rPr>
            </w:pPr>
            <w:r w:rsidRPr="00102994">
              <w:rPr>
                <w:rFonts w:ascii="Times New Roman" w:hAnsi="Times New Roman"/>
                <w:i/>
                <w:iCs/>
                <w:color w:val="000000"/>
                <w:sz w:val="18"/>
                <w:szCs w:val="16"/>
              </w:rPr>
              <w:t>-4 948 243</w:t>
            </w:r>
          </w:p>
        </w:tc>
        <w:tc>
          <w:tcPr>
            <w:tcW w:w="1494" w:type="dxa"/>
            <w:shd w:val="clear" w:color="auto" w:fill="auto"/>
          </w:tcPr>
          <w:p w:rsidR="000F76BF" w:rsidRPr="00102994" w:rsidRDefault="000F76BF" w:rsidP="00852CE9">
            <w:pPr>
              <w:jc w:val="right"/>
              <w:rPr>
                <w:rFonts w:ascii="Times New Roman" w:hAnsi="Times New Roman"/>
                <w:color w:val="000000"/>
                <w:sz w:val="18"/>
                <w:szCs w:val="16"/>
              </w:rPr>
            </w:pPr>
            <w:r w:rsidRPr="00102994">
              <w:rPr>
                <w:rFonts w:ascii="Times New Roman" w:hAnsi="Times New Roman"/>
                <w:color w:val="000000"/>
                <w:sz w:val="18"/>
                <w:szCs w:val="16"/>
              </w:rPr>
              <w:t>956 613</w:t>
            </w:r>
          </w:p>
        </w:tc>
      </w:tr>
      <w:tr w:rsidR="000F76BF" w:rsidRPr="00102994" w:rsidTr="001D6CAD">
        <w:trPr>
          <w:trHeight w:val="256"/>
          <w:jc w:val="center"/>
        </w:trPr>
        <w:tc>
          <w:tcPr>
            <w:tcW w:w="619" w:type="dxa"/>
            <w:shd w:val="clear" w:color="auto" w:fill="auto"/>
            <w:vAlign w:val="center"/>
            <w:hideMark/>
          </w:tcPr>
          <w:p w:rsidR="000F76BF" w:rsidRPr="00D82A04" w:rsidRDefault="000F76BF" w:rsidP="00E1562A">
            <w:pPr>
              <w:spacing w:after="0" w:line="240" w:lineRule="auto"/>
              <w:jc w:val="center"/>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1.2.</w:t>
            </w:r>
          </w:p>
        </w:tc>
        <w:tc>
          <w:tcPr>
            <w:tcW w:w="4165" w:type="dxa"/>
            <w:shd w:val="clear" w:color="auto" w:fill="auto"/>
            <w:vAlign w:val="center"/>
            <w:hideMark/>
          </w:tcPr>
          <w:p w:rsidR="000F76BF" w:rsidRPr="000D61A5" w:rsidRDefault="000F76BF" w:rsidP="00E1562A">
            <w:pPr>
              <w:spacing w:after="0" w:line="240" w:lineRule="auto"/>
              <w:rPr>
                <w:rFonts w:ascii="Times New Roman" w:hAnsi="Times New Roman"/>
                <w:i/>
                <w:color w:val="000000"/>
                <w:sz w:val="18"/>
                <w:szCs w:val="20"/>
                <w:lang w:val="en-US"/>
              </w:rPr>
            </w:pPr>
            <w:r w:rsidRPr="000D61A5">
              <w:rPr>
                <w:rFonts w:ascii="Times New Roman" w:hAnsi="Times New Roman"/>
                <w:i/>
                <w:color w:val="000000"/>
                <w:sz w:val="18"/>
                <w:szCs w:val="20"/>
                <w:lang w:val="en-US"/>
              </w:rPr>
              <w:t>in foreign currencies</w:t>
            </w:r>
          </w:p>
        </w:tc>
        <w:tc>
          <w:tcPr>
            <w:tcW w:w="1512" w:type="dxa"/>
            <w:shd w:val="clear" w:color="auto" w:fill="auto"/>
          </w:tcPr>
          <w:p w:rsidR="000F76BF" w:rsidRPr="00102994" w:rsidRDefault="000F76BF" w:rsidP="00852CE9">
            <w:pPr>
              <w:spacing w:line="240" w:lineRule="auto"/>
              <w:jc w:val="right"/>
              <w:rPr>
                <w:rFonts w:ascii="Times New Roman" w:hAnsi="Times New Roman"/>
                <w:color w:val="000000"/>
                <w:sz w:val="18"/>
                <w:szCs w:val="16"/>
              </w:rPr>
            </w:pPr>
            <w:r w:rsidRPr="00102994">
              <w:rPr>
                <w:rFonts w:ascii="Times New Roman" w:hAnsi="Times New Roman"/>
                <w:color w:val="000000"/>
                <w:sz w:val="18"/>
                <w:szCs w:val="16"/>
              </w:rPr>
              <w:t>9 028 008</w:t>
            </w:r>
          </w:p>
        </w:tc>
        <w:tc>
          <w:tcPr>
            <w:tcW w:w="1707" w:type="dxa"/>
            <w:shd w:val="clear" w:color="auto" w:fill="auto"/>
            <w:noWrap/>
          </w:tcPr>
          <w:p w:rsidR="000F76BF" w:rsidRPr="00102994" w:rsidRDefault="000F76BF" w:rsidP="00852CE9">
            <w:pPr>
              <w:jc w:val="right"/>
              <w:rPr>
                <w:rFonts w:ascii="Times New Roman" w:hAnsi="Times New Roman"/>
                <w:i/>
                <w:iCs/>
                <w:color w:val="000000"/>
                <w:sz w:val="18"/>
                <w:szCs w:val="16"/>
              </w:rPr>
            </w:pPr>
            <w:r w:rsidRPr="00102994">
              <w:rPr>
                <w:rFonts w:ascii="Times New Roman" w:hAnsi="Times New Roman"/>
                <w:i/>
                <w:iCs/>
                <w:color w:val="000000"/>
                <w:sz w:val="18"/>
                <w:szCs w:val="16"/>
              </w:rPr>
              <w:t>-765 269</w:t>
            </w:r>
          </w:p>
        </w:tc>
        <w:tc>
          <w:tcPr>
            <w:tcW w:w="1494" w:type="dxa"/>
            <w:shd w:val="clear" w:color="auto" w:fill="auto"/>
          </w:tcPr>
          <w:p w:rsidR="000F76BF" w:rsidRPr="00102994" w:rsidRDefault="000F76BF" w:rsidP="00852CE9">
            <w:pPr>
              <w:jc w:val="right"/>
              <w:rPr>
                <w:rFonts w:ascii="Times New Roman" w:hAnsi="Times New Roman"/>
                <w:color w:val="000000"/>
                <w:sz w:val="18"/>
                <w:szCs w:val="16"/>
              </w:rPr>
            </w:pPr>
            <w:r w:rsidRPr="00102994">
              <w:rPr>
                <w:rFonts w:ascii="Times New Roman" w:hAnsi="Times New Roman"/>
                <w:color w:val="000000"/>
                <w:sz w:val="18"/>
                <w:szCs w:val="16"/>
              </w:rPr>
              <w:t>52 393</w:t>
            </w:r>
          </w:p>
        </w:tc>
      </w:tr>
      <w:tr w:rsidR="000F76BF" w:rsidRPr="00102994" w:rsidTr="001D6CAD">
        <w:trPr>
          <w:trHeight w:val="817"/>
          <w:jc w:val="center"/>
        </w:trPr>
        <w:tc>
          <w:tcPr>
            <w:tcW w:w="619" w:type="dxa"/>
            <w:shd w:val="clear" w:color="auto" w:fill="auto"/>
            <w:vAlign w:val="center"/>
            <w:hideMark/>
          </w:tcPr>
          <w:p w:rsidR="000F76BF" w:rsidRPr="00D82A04" w:rsidRDefault="000F76BF" w:rsidP="00E1562A">
            <w:pPr>
              <w:spacing w:after="0" w:line="240" w:lineRule="auto"/>
              <w:jc w:val="center"/>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 </w:t>
            </w:r>
          </w:p>
        </w:tc>
        <w:tc>
          <w:tcPr>
            <w:tcW w:w="4165" w:type="dxa"/>
            <w:shd w:val="clear" w:color="auto" w:fill="auto"/>
            <w:vAlign w:val="center"/>
            <w:hideMark/>
          </w:tcPr>
          <w:p w:rsidR="000F76BF" w:rsidRPr="00DE599B" w:rsidRDefault="000F76BF" w:rsidP="00E1562A">
            <w:pPr>
              <w:spacing w:after="0" w:line="240" w:lineRule="auto"/>
              <w:rPr>
                <w:rFonts w:ascii="Times New Roman" w:eastAsia="Times New Roman" w:hAnsi="Times New Roman"/>
                <w:sz w:val="18"/>
                <w:szCs w:val="18"/>
                <w:lang w:val="en-US" w:eastAsia="ru-RU"/>
              </w:rPr>
            </w:pPr>
            <w:r w:rsidRPr="00DE599B">
              <w:rPr>
                <w:rFonts w:ascii="Times New Roman" w:eastAsia="Times New Roman" w:hAnsi="Times New Roman"/>
                <w:sz w:val="18"/>
                <w:szCs w:val="18"/>
                <w:lang w:val="en-US" w:eastAsia="ru-RU"/>
              </w:rPr>
              <w:t>Call deposits</w:t>
            </w:r>
            <w:r>
              <w:rPr>
                <w:rFonts w:ascii="Times New Roman" w:eastAsia="Times New Roman" w:hAnsi="Times New Roman"/>
                <w:sz w:val="18"/>
                <w:szCs w:val="18"/>
                <w:lang w:val="en-US" w:eastAsia="ru-RU"/>
              </w:rPr>
              <w:t xml:space="preserve"> of </w:t>
            </w:r>
            <w:r w:rsidRPr="00DE599B">
              <w:rPr>
                <w:rFonts w:ascii="Times New Roman" w:eastAsia="Times New Roman" w:hAnsi="Times New Roman"/>
                <w:sz w:val="18"/>
                <w:szCs w:val="18"/>
                <w:lang w:val="en-US" w:eastAsia="ru-RU"/>
              </w:rPr>
              <w:t>the member-banks’ top-management, as well as their shareholders holding in total five or more per cent of the banks’ voting shares, and their close relatives</w:t>
            </w:r>
          </w:p>
        </w:tc>
        <w:tc>
          <w:tcPr>
            <w:tcW w:w="1512" w:type="dxa"/>
            <w:shd w:val="clear" w:color="auto" w:fill="auto"/>
          </w:tcPr>
          <w:p w:rsidR="000F76BF" w:rsidRPr="00102994" w:rsidRDefault="000F76BF" w:rsidP="00852CE9">
            <w:pPr>
              <w:spacing w:line="240" w:lineRule="auto"/>
              <w:jc w:val="right"/>
              <w:rPr>
                <w:rFonts w:ascii="Times New Roman" w:hAnsi="Times New Roman"/>
                <w:color w:val="000000"/>
                <w:sz w:val="18"/>
                <w:szCs w:val="16"/>
              </w:rPr>
            </w:pPr>
            <w:r w:rsidRPr="00102994">
              <w:rPr>
                <w:rFonts w:ascii="Times New Roman" w:hAnsi="Times New Roman"/>
                <w:color w:val="000000"/>
                <w:sz w:val="18"/>
                <w:szCs w:val="16"/>
              </w:rPr>
              <w:t>5 114 296</w:t>
            </w:r>
          </w:p>
        </w:tc>
        <w:tc>
          <w:tcPr>
            <w:tcW w:w="1707" w:type="dxa"/>
            <w:shd w:val="clear" w:color="auto" w:fill="auto"/>
            <w:noWrap/>
          </w:tcPr>
          <w:p w:rsidR="000F76BF" w:rsidRPr="00102994" w:rsidRDefault="000F76BF" w:rsidP="00852CE9">
            <w:pPr>
              <w:jc w:val="right"/>
              <w:rPr>
                <w:rFonts w:ascii="Times New Roman" w:hAnsi="Times New Roman"/>
                <w:i/>
                <w:iCs/>
                <w:color w:val="000000"/>
                <w:sz w:val="18"/>
                <w:szCs w:val="16"/>
              </w:rPr>
            </w:pPr>
            <w:r w:rsidRPr="00102994">
              <w:rPr>
                <w:rFonts w:ascii="Times New Roman" w:hAnsi="Times New Roman"/>
                <w:i/>
                <w:iCs/>
                <w:color w:val="000000"/>
                <w:sz w:val="18"/>
                <w:szCs w:val="16"/>
              </w:rPr>
              <w:t>-707 109</w:t>
            </w:r>
          </w:p>
        </w:tc>
        <w:tc>
          <w:tcPr>
            <w:tcW w:w="1494" w:type="dxa"/>
            <w:shd w:val="clear" w:color="auto" w:fill="auto"/>
          </w:tcPr>
          <w:p w:rsidR="000F76BF" w:rsidRPr="00102994" w:rsidRDefault="000F76BF" w:rsidP="00852CE9">
            <w:pPr>
              <w:jc w:val="right"/>
              <w:rPr>
                <w:rFonts w:ascii="Times New Roman" w:hAnsi="Times New Roman"/>
                <w:color w:val="000000"/>
                <w:sz w:val="18"/>
                <w:szCs w:val="16"/>
              </w:rPr>
            </w:pPr>
            <w:r w:rsidRPr="00102994">
              <w:rPr>
                <w:rFonts w:ascii="Times New Roman" w:hAnsi="Times New Roman"/>
                <w:color w:val="000000"/>
                <w:sz w:val="18"/>
                <w:szCs w:val="16"/>
              </w:rPr>
              <w:t>122</w:t>
            </w:r>
          </w:p>
        </w:tc>
      </w:tr>
      <w:tr w:rsidR="000F76BF" w:rsidRPr="00102994" w:rsidTr="001D6CAD">
        <w:trPr>
          <w:trHeight w:val="246"/>
          <w:jc w:val="center"/>
        </w:trPr>
        <w:tc>
          <w:tcPr>
            <w:tcW w:w="619" w:type="dxa"/>
            <w:shd w:val="clear" w:color="auto" w:fill="auto"/>
            <w:vAlign w:val="center"/>
            <w:hideMark/>
          </w:tcPr>
          <w:p w:rsidR="000F76BF" w:rsidRPr="00D82A04" w:rsidRDefault="000F76BF" w:rsidP="00E1562A">
            <w:pPr>
              <w:spacing w:after="0" w:line="240" w:lineRule="auto"/>
              <w:jc w:val="center"/>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2.</w:t>
            </w:r>
          </w:p>
        </w:tc>
        <w:tc>
          <w:tcPr>
            <w:tcW w:w="4165" w:type="dxa"/>
            <w:shd w:val="clear" w:color="auto" w:fill="auto"/>
            <w:vAlign w:val="center"/>
            <w:hideMark/>
          </w:tcPr>
          <w:p w:rsidR="000F76BF" w:rsidRPr="000D61A5" w:rsidRDefault="000F76BF" w:rsidP="00E1562A">
            <w:pPr>
              <w:spacing w:after="0" w:line="240" w:lineRule="auto"/>
              <w:rPr>
                <w:rFonts w:ascii="Times New Roman" w:eastAsia="Times New Roman" w:hAnsi="Times New Roman"/>
                <w:sz w:val="18"/>
                <w:szCs w:val="18"/>
                <w:lang w:val="en-US" w:eastAsia="ru-RU"/>
              </w:rPr>
            </w:pPr>
            <w:r w:rsidRPr="000D61A5">
              <w:rPr>
                <w:rFonts w:ascii="Times New Roman" w:eastAsia="Times New Roman" w:hAnsi="Times New Roman"/>
                <w:sz w:val="18"/>
                <w:szCs w:val="18"/>
                <w:lang w:val="en-US" w:eastAsia="ru-RU"/>
              </w:rPr>
              <w:t>Term and conditional deposits, including:</w:t>
            </w:r>
          </w:p>
        </w:tc>
        <w:tc>
          <w:tcPr>
            <w:tcW w:w="1512" w:type="dxa"/>
            <w:shd w:val="clear" w:color="auto" w:fill="auto"/>
          </w:tcPr>
          <w:p w:rsidR="000F76BF" w:rsidRPr="00102994" w:rsidRDefault="000F76BF" w:rsidP="00852CE9">
            <w:pPr>
              <w:spacing w:line="240" w:lineRule="auto"/>
              <w:jc w:val="right"/>
              <w:rPr>
                <w:rFonts w:ascii="Times New Roman" w:hAnsi="Times New Roman"/>
                <w:bCs/>
                <w:color w:val="000000"/>
                <w:sz w:val="18"/>
                <w:szCs w:val="16"/>
              </w:rPr>
            </w:pPr>
            <w:r w:rsidRPr="00102994">
              <w:rPr>
                <w:rFonts w:ascii="Times New Roman" w:hAnsi="Times New Roman"/>
                <w:bCs/>
                <w:color w:val="000000"/>
                <w:sz w:val="18"/>
                <w:szCs w:val="16"/>
              </w:rPr>
              <w:t>3 845 458 938</w:t>
            </w:r>
          </w:p>
        </w:tc>
        <w:tc>
          <w:tcPr>
            <w:tcW w:w="1707" w:type="dxa"/>
            <w:shd w:val="clear" w:color="auto" w:fill="auto"/>
            <w:noWrap/>
          </w:tcPr>
          <w:p w:rsidR="000F76BF" w:rsidRPr="00102994" w:rsidRDefault="000F76BF" w:rsidP="00852CE9">
            <w:pPr>
              <w:jc w:val="right"/>
              <w:rPr>
                <w:rFonts w:ascii="Times New Roman" w:hAnsi="Times New Roman"/>
                <w:bCs/>
                <w:i/>
                <w:iCs/>
                <w:color w:val="000000"/>
                <w:sz w:val="18"/>
                <w:szCs w:val="16"/>
              </w:rPr>
            </w:pPr>
            <w:r w:rsidRPr="00102994">
              <w:rPr>
                <w:rFonts w:ascii="Times New Roman" w:hAnsi="Times New Roman"/>
                <w:bCs/>
                <w:i/>
                <w:iCs/>
                <w:color w:val="000000"/>
                <w:sz w:val="18"/>
                <w:szCs w:val="16"/>
              </w:rPr>
              <w:t>-113 358 105</w:t>
            </w:r>
          </w:p>
        </w:tc>
        <w:tc>
          <w:tcPr>
            <w:tcW w:w="1494" w:type="dxa"/>
            <w:shd w:val="clear" w:color="auto" w:fill="auto"/>
          </w:tcPr>
          <w:p w:rsidR="000F76BF" w:rsidRPr="00102994" w:rsidRDefault="000F76BF" w:rsidP="00852CE9">
            <w:pPr>
              <w:jc w:val="right"/>
              <w:rPr>
                <w:rFonts w:ascii="Times New Roman" w:hAnsi="Times New Roman"/>
                <w:bCs/>
                <w:color w:val="000000"/>
                <w:sz w:val="18"/>
                <w:szCs w:val="16"/>
              </w:rPr>
            </w:pPr>
            <w:r w:rsidRPr="00102994">
              <w:rPr>
                <w:rFonts w:ascii="Times New Roman" w:hAnsi="Times New Roman"/>
                <w:bCs/>
                <w:color w:val="000000"/>
                <w:sz w:val="18"/>
                <w:szCs w:val="16"/>
              </w:rPr>
              <w:t>2 817 382</w:t>
            </w:r>
          </w:p>
        </w:tc>
      </w:tr>
      <w:tr w:rsidR="000F76BF" w:rsidRPr="00102994" w:rsidTr="001D6CAD">
        <w:trPr>
          <w:trHeight w:val="82"/>
          <w:jc w:val="center"/>
        </w:trPr>
        <w:tc>
          <w:tcPr>
            <w:tcW w:w="619" w:type="dxa"/>
            <w:shd w:val="clear" w:color="auto" w:fill="auto"/>
            <w:vAlign w:val="center"/>
            <w:hideMark/>
          </w:tcPr>
          <w:p w:rsidR="000F76BF" w:rsidRPr="00D82A04" w:rsidRDefault="000F76BF" w:rsidP="00E1562A">
            <w:pPr>
              <w:spacing w:after="0" w:line="240" w:lineRule="auto"/>
              <w:jc w:val="center"/>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2.1.</w:t>
            </w:r>
          </w:p>
        </w:tc>
        <w:tc>
          <w:tcPr>
            <w:tcW w:w="4165" w:type="dxa"/>
            <w:shd w:val="clear" w:color="auto" w:fill="auto"/>
            <w:vAlign w:val="center"/>
            <w:hideMark/>
          </w:tcPr>
          <w:p w:rsidR="000F76BF" w:rsidRPr="000D61A5" w:rsidRDefault="000F76BF" w:rsidP="00E1562A">
            <w:pPr>
              <w:spacing w:after="0" w:line="240" w:lineRule="auto"/>
              <w:rPr>
                <w:rFonts w:ascii="Times New Roman" w:eastAsia="Times New Roman" w:hAnsi="Times New Roman"/>
                <w:i/>
                <w:sz w:val="18"/>
                <w:szCs w:val="18"/>
                <w:lang w:eastAsia="ru-RU"/>
              </w:rPr>
            </w:pPr>
            <w:r w:rsidRPr="00A54A93">
              <w:rPr>
                <w:rFonts w:ascii="Times New Roman" w:eastAsia="Times New Roman" w:hAnsi="Times New Roman"/>
                <w:i/>
                <w:sz w:val="18"/>
                <w:szCs w:val="18"/>
                <w:lang w:val="en-US" w:eastAsia="ru-RU"/>
              </w:rPr>
              <w:t>in</w:t>
            </w:r>
            <w:r w:rsidRPr="000D61A5">
              <w:rPr>
                <w:rFonts w:ascii="Times New Roman" w:eastAsia="Times New Roman" w:hAnsi="Times New Roman"/>
                <w:i/>
                <w:sz w:val="18"/>
                <w:szCs w:val="18"/>
                <w:lang w:eastAsia="ru-RU"/>
              </w:rPr>
              <w:t xml:space="preserve"> Tenge, </w:t>
            </w:r>
            <w:r w:rsidRPr="00A54A93">
              <w:rPr>
                <w:rFonts w:ascii="Times New Roman" w:eastAsia="Times New Roman" w:hAnsi="Times New Roman"/>
                <w:i/>
                <w:sz w:val="18"/>
                <w:szCs w:val="18"/>
                <w:lang w:val="en-US" w:eastAsia="ru-RU"/>
              </w:rPr>
              <w:t>including</w:t>
            </w:r>
            <w:r w:rsidRPr="000D61A5">
              <w:rPr>
                <w:rFonts w:ascii="Times New Roman" w:eastAsia="Times New Roman" w:hAnsi="Times New Roman"/>
                <w:i/>
                <w:sz w:val="18"/>
                <w:szCs w:val="18"/>
                <w:lang w:eastAsia="ru-RU"/>
              </w:rPr>
              <w:t>:</w:t>
            </w:r>
          </w:p>
        </w:tc>
        <w:tc>
          <w:tcPr>
            <w:tcW w:w="1512" w:type="dxa"/>
            <w:shd w:val="clear" w:color="auto" w:fill="auto"/>
          </w:tcPr>
          <w:p w:rsidR="000F76BF" w:rsidRPr="00102994" w:rsidRDefault="000F76BF" w:rsidP="00852CE9">
            <w:pPr>
              <w:spacing w:line="240" w:lineRule="auto"/>
              <w:jc w:val="right"/>
              <w:rPr>
                <w:rFonts w:ascii="Times New Roman" w:hAnsi="Times New Roman"/>
                <w:color w:val="000000"/>
                <w:sz w:val="18"/>
                <w:szCs w:val="16"/>
              </w:rPr>
            </w:pPr>
            <w:r w:rsidRPr="00102994">
              <w:rPr>
                <w:rFonts w:ascii="Times New Roman" w:hAnsi="Times New Roman"/>
                <w:color w:val="000000"/>
                <w:sz w:val="18"/>
                <w:szCs w:val="16"/>
              </w:rPr>
              <w:t>1 074 491 752</w:t>
            </w:r>
          </w:p>
        </w:tc>
        <w:tc>
          <w:tcPr>
            <w:tcW w:w="1707" w:type="dxa"/>
            <w:shd w:val="clear" w:color="auto" w:fill="auto"/>
            <w:noWrap/>
          </w:tcPr>
          <w:p w:rsidR="000F76BF" w:rsidRPr="00102994" w:rsidRDefault="000F76BF" w:rsidP="00852CE9">
            <w:pPr>
              <w:jc w:val="right"/>
              <w:rPr>
                <w:rFonts w:ascii="Times New Roman" w:hAnsi="Times New Roman"/>
                <w:i/>
                <w:iCs/>
                <w:color w:val="000000"/>
                <w:sz w:val="18"/>
                <w:szCs w:val="16"/>
              </w:rPr>
            </w:pPr>
            <w:r w:rsidRPr="00102994">
              <w:rPr>
                <w:rFonts w:ascii="Times New Roman" w:hAnsi="Times New Roman"/>
                <w:i/>
                <w:iCs/>
                <w:color w:val="000000"/>
                <w:sz w:val="18"/>
                <w:szCs w:val="16"/>
              </w:rPr>
              <w:t>6 928 802</w:t>
            </w:r>
          </w:p>
        </w:tc>
        <w:tc>
          <w:tcPr>
            <w:tcW w:w="1494" w:type="dxa"/>
            <w:shd w:val="clear" w:color="auto" w:fill="auto"/>
          </w:tcPr>
          <w:p w:rsidR="000F76BF" w:rsidRPr="00102994" w:rsidRDefault="000F76BF" w:rsidP="00852CE9">
            <w:pPr>
              <w:jc w:val="right"/>
              <w:rPr>
                <w:rFonts w:ascii="Times New Roman" w:hAnsi="Times New Roman"/>
                <w:color w:val="000000"/>
                <w:sz w:val="18"/>
                <w:szCs w:val="16"/>
              </w:rPr>
            </w:pPr>
            <w:r w:rsidRPr="00102994">
              <w:rPr>
                <w:rFonts w:ascii="Times New Roman" w:hAnsi="Times New Roman"/>
                <w:color w:val="000000"/>
                <w:sz w:val="18"/>
                <w:szCs w:val="16"/>
              </w:rPr>
              <w:t>1 996 959</w:t>
            </w:r>
          </w:p>
        </w:tc>
      </w:tr>
      <w:tr w:rsidR="000F76BF" w:rsidRPr="00102994" w:rsidTr="001D6CAD">
        <w:trPr>
          <w:trHeight w:val="202"/>
          <w:jc w:val="center"/>
        </w:trPr>
        <w:tc>
          <w:tcPr>
            <w:tcW w:w="619" w:type="dxa"/>
            <w:shd w:val="clear" w:color="auto" w:fill="auto"/>
            <w:vAlign w:val="center"/>
            <w:hideMark/>
          </w:tcPr>
          <w:p w:rsidR="000F76BF" w:rsidRPr="00D82A04" w:rsidRDefault="000F76BF" w:rsidP="00E1562A">
            <w:pPr>
              <w:spacing w:after="0" w:line="240" w:lineRule="auto"/>
              <w:jc w:val="center"/>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 </w:t>
            </w:r>
          </w:p>
        </w:tc>
        <w:tc>
          <w:tcPr>
            <w:tcW w:w="4165" w:type="dxa"/>
            <w:shd w:val="clear" w:color="auto" w:fill="auto"/>
            <w:vAlign w:val="center"/>
            <w:hideMark/>
          </w:tcPr>
          <w:p w:rsidR="000F76BF" w:rsidRPr="000D61A5" w:rsidRDefault="000F76BF" w:rsidP="00E1562A">
            <w:pPr>
              <w:spacing w:after="0" w:line="240" w:lineRule="auto"/>
              <w:rPr>
                <w:rFonts w:ascii="Times New Roman" w:hAnsi="Times New Roman"/>
                <w:color w:val="000000"/>
                <w:sz w:val="18"/>
                <w:szCs w:val="20"/>
              </w:rPr>
            </w:pPr>
            <w:r w:rsidRPr="00A54A93">
              <w:rPr>
                <w:rFonts w:ascii="Times New Roman" w:hAnsi="Times New Roman"/>
                <w:color w:val="000000"/>
                <w:sz w:val="18"/>
                <w:szCs w:val="20"/>
                <w:lang w:val="en-US"/>
              </w:rPr>
              <w:t>up</w:t>
            </w:r>
            <w:r w:rsidRPr="000D61A5">
              <w:rPr>
                <w:rFonts w:ascii="Times New Roman" w:hAnsi="Times New Roman"/>
                <w:color w:val="000000"/>
                <w:sz w:val="18"/>
                <w:szCs w:val="20"/>
              </w:rPr>
              <w:t xml:space="preserve"> </w:t>
            </w:r>
            <w:r w:rsidRPr="00A54A93">
              <w:rPr>
                <w:rFonts w:ascii="Times New Roman" w:hAnsi="Times New Roman"/>
                <w:color w:val="000000"/>
                <w:sz w:val="18"/>
                <w:szCs w:val="20"/>
                <w:lang w:val="en-US"/>
              </w:rPr>
              <w:t>to</w:t>
            </w:r>
            <w:r w:rsidRPr="000D61A5">
              <w:rPr>
                <w:rFonts w:ascii="Times New Roman" w:hAnsi="Times New Roman"/>
                <w:color w:val="000000"/>
                <w:sz w:val="18"/>
                <w:szCs w:val="20"/>
              </w:rPr>
              <w:t xml:space="preserve"> T1 </w:t>
            </w:r>
            <w:r w:rsidRPr="00A54A93">
              <w:rPr>
                <w:rFonts w:ascii="Times New Roman" w:hAnsi="Times New Roman"/>
                <w:color w:val="000000"/>
                <w:sz w:val="18"/>
                <w:szCs w:val="20"/>
                <w:lang w:val="en-US"/>
              </w:rPr>
              <w:t>million</w:t>
            </w:r>
          </w:p>
        </w:tc>
        <w:tc>
          <w:tcPr>
            <w:tcW w:w="1512" w:type="dxa"/>
            <w:shd w:val="clear" w:color="auto" w:fill="auto"/>
          </w:tcPr>
          <w:p w:rsidR="000F76BF" w:rsidRPr="00102994" w:rsidRDefault="000F76BF" w:rsidP="00852CE9">
            <w:pPr>
              <w:spacing w:line="240" w:lineRule="auto"/>
              <w:jc w:val="right"/>
              <w:rPr>
                <w:rFonts w:ascii="Times New Roman" w:hAnsi="Times New Roman"/>
                <w:color w:val="000000"/>
                <w:sz w:val="18"/>
                <w:szCs w:val="16"/>
              </w:rPr>
            </w:pPr>
            <w:r w:rsidRPr="00102994">
              <w:rPr>
                <w:rFonts w:ascii="Times New Roman" w:hAnsi="Times New Roman"/>
                <w:color w:val="000000"/>
                <w:sz w:val="18"/>
                <w:szCs w:val="16"/>
              </w:rPr>
              <w:t>266 086 288</w:t>
            </w:r>
          </w:p>
        </w:tc>
        <w:tc>
          <w:tcPr>
            <w:tcW w:w="1707" w:type="dxa"/>
            <w:shd w:val="clear" w:color="auto" w:fill="auto"/>
            <w:noWrap/>
          </w:tcPr>
          <w:p w:rsidR="000F76BF" w:rsidRPr="00102994" w:rsidRDefault="000F76BF" w:rsidP="00852CE9">
            <w:pPr>
              <w:jc w:val="right"/>
              <w:rPr>
                <w:rFonts w:ascii="Times New Roman" w:hAnsi="Times New Roman"/>
                <w:i/>
                <w:iCs/>
                <w:color w:val="000000"/>
                <w:sz w:val="18"/>
                <w:szCs w:val="16"/>
              </w:rPr>
            </w:pPr>
            <w:r w:rsidRPr="00102994">
              <w:rPr>
                <w:rFonts w:ascii="Times New Roman" w:hAnsi="Times New Roman"/>
                <w:i/>
                <w:iCs/>
                <w:color w:val="000000"/>
                <w:sz w:val="18"/>
                <w:szCs w:val="16"/>
              </w:rPr>
              <w:t>569 754</w:t>
            </w:r>
          </w:p>
        </w:tc>
        <w:tc>
          <w:tcPr>
            <w:tcW w:w="1494" w:type="dxa"/>
            <w:shd w:val="clear" w:color="auto" w:fill="auto"/>
          </w:tcPr>
          <w:p w:rsidR="000F76BF" w:rsidRPr="00102994" w:rsidRDefault="000F76BF" w:rsidP="00852CE9">
            <w:pPr>
              <w:jc w:val="right"/>
              <w:rPr>
                <w:rFonts w:ascii="Times New Roman" w:hAnsi="Times New Roman"/>
                <w:color w:val="000000"/>
                <w:sz w:val="18"/>
                <w:szCs w:val="16"/>
              </w:rPr>
            </w:pPr>
            <w:r w:rsidRPr="00102994">
              <w:rPr>
                <w:rFonts w:ascii="Times New Roman" w:hAnsi="Times New Roman"/>
                <w:color w:val="000000"/>
                <w:sz w:val="18"/>
                <w:szCs w:val="16"/>
              </w:rPr>
              <w:t>1 739 139</w:t>
            </w:r>
          </w:p>
        </w:tc>
      </w:tr>
      <w:tr w:rsidR="000F76BF" w:rsidRPr="00102994" w:rsidTr="001D6CAD">
        <w:trPr>
          <w:trHeight w:val="363"/>
          <w:jc w:val="center"/>
        </w:trPr>
        <w:tc>
          <w:tcPr>
            <w:tcW w:w="619" w:type="dxa"/>
            <w:shd w:val="clear" w:color="auto" w:fill="auto"/>
            <w:vAlign w:val="center"/>
            <w:hideMark/>
          </w:tcPr>
          <w:p w:rsidR="000F76BF" w:rsidRPr="00D82A04" w:rsidRDefault="000F76BF" w:rsidP="00E1562A">
            <w:pPr>
              <w:spacing w:after="0" w:line="240" w:lineRule="auto"/>
              <w:jc w:val="center"/>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 </w:t>
            </w:r>
          </w:p>
        </w:tc>
        <w:tc>
          <w:tcPr>
            <w:tcW w:w="4165" w:type="dxa"/>
            <w:shd w:val="clear" w:color="auto" w:fill="auto"/>
            <w:vAlign w:val="center"/>
            <w:hideMark/>
          </w:tcPr>
          <w:p w:rsidR="000F76BF" w:rsidRPr="000D61A5" w:rsidRDefault="000F76BF" w:rsidP="00E1562A">
            <w:pPr>
              <w:spacing w:after="0" w:line="240" w:lineRule="auto"/>
              <w:rPr>
                <w:rFonts w:ascii="Times New Roman" w:hAnsi="Times New Roman"/>
                <w:color w:val="000000"/>
                <w:sz w:val="18"/>
                <w:szCs w:val="20"/>
                <w:lang w:val="en-US"/>
              </w:rPr>
            </w:pPr>
            <w:r w:rsidRPr="000D61A5">
              <w:rPr>
                <w:rFonts w:ascii="Times New Roman" w:hAnsi="Times New Roman"/>
                <w:color w:val="000000"/>
                <w:sz w:val="18"/>
                <w:szCs w:val="20"/>
                <w:lang w:val="en-US"/>
              </w:rPr>
              <w:t>from T1 million to T3 million</w:t>
            </w:r>
          </w:p>
        </w:tc>
        <w:tc>
          <w:tcPr>
            <w:tcW w:w="1512" w:type="dxa"/>
            <w:shd w:val="clear" w:color="auto" w:fill="auto"/>
          </w:tcPr>
          <w:p w:rsidR="000F76BF" w:rsidRPr="00102994" w:rsidRDefault="000F76BF" w:rsidP="00852CE9">
            <w:pPr>
              <w:spacing w:line="240" w:lineRule="auto"/>
              <w:jc w:val="right"/>
              <w:rPr>
                <w:rFonts w:ascii="Times New Roman" w:hAnsi="Times New Roman"/>
                <w:color w:val="000000"/>
                <w:sz w:val="18"/>
                <w:szCs w:val="16"/>
              </w:rPr>
            </w:pPr>
            <w:r w:rsidRPr="00102994">
              <w:rPr>
                <w:rFonts w:ascii="Times New Roman" w:hAnsi="Times New Roman"/>
                <w:color w:val="000000"/>
                <w:sz w:val="18"/>
                <w:szCs w:val="16"/>
              </w:rPr>
              <w:t>313 795 369</w:t>
            </w:r>
          </w:p>
        </w:tc>
        <w:tc>
          <w:tcPr>
            <w:tcW w:w="1707" w:type="dxa"/>
            <w:shd w:val="clear" w:color="auto" w:fill="auto"/>
            <w:noWrap/>
          </w:tcPr>
          <w:p w:rsidR="000F76BF" w:rsidRPr="00102994" w:rsidRDefault="000F76BF" w:rsidP="00852CE9">
            <w:pPr>
              <w:jc w:val="right"/>
              <w:rPr>
                <w:rFonts w:ascii="Times New Roman" w:hAnsi="Times New Roman"/>
                <w:i/>
                <w:iCs/>
                <w:color w:val="000000"/>
                <w:sz w:val="18"/>
                <w:szCs w:val="16"/>
              </w:rPr>
            </w:pPr>
            <w:r w:rsidRPr="00102994">
              <w:rPr>
                <w:rFonts w:ascii="Times New Roman" w:hAnsi="Times New Roman"/>
                <w:i/>
                <w:iCs/>
                <w:color w:val="000000"/>
                <w:sz w:val="18"/>
                <w:szCs w:val="16"/>
              </w:rPr>
              <w:t>691 041</w:t>
            </w:r>
          </w:p>
        </w:tc>
        <w:tc>
          <w:tcPr>
            <w:tcW w:w="1494" w:type="dxa"/>
            <w:shd w:val="clear" w:color="auto" w:fill="auto"/>
          </w:tcPr>
          <w:p w:rsidR="000F76BF" w:rsidRPr="00102994" w:rsidRDefault="000F76BF" w:rsidP="00852CE9">
            <w:pPr>
              <w:jc w:val="right"/>
              <w:rPr>
                <w:rFonts w:ascii="Times New Roman" w:hAnsi="Times New Roman"/>
                <w:color w:val="000000"/>
                <w:sz w:val="18"/>
                <w:szCs w:val="16"/>
              </w:rPr>
            </w:pPr>
            <w:r w:rsidRPr="00102994">
              <w:rPr>
                <w:rFonts w:ascii="Times New Roman" w:hAnsi="Times New Roman"/>
                <w:color w:val="000000"/>
                <w:sz w:val="18"/>
                <w:szCs w:val="16"/>
              </w:rPr>
              <w:t>193 203</w:t>
            </w:r>
          </w:p>
        </w:tc>
      </w:tr>
      <w:tr w:rsidR="000F76BF" w:rsidRPr="00102994" w:rsidTr="001D6CAD">
        <w:trPr>
          <w:trHeight w:val="369"/>
          <w:jc w:val="center"/>
        </w:trPr>
        <w:tc>
          <w:tcPr>
            <w:tcW w:w="619" w:type="dxa"/>
            <w:shd w:val="clear" w:color="auto" w:fill="auto"/>
            <w:vAlign w:val="center"/>
            <w:hideMark/>
          </w:tcPr>
          <w:p w:rsidR="000F76BF" w:rsidRPr="00D82A04" w:rsidRDefault="000F76BF" w:rsidP="00E1562A">
            <w:pPr>
              <w:spacing w:after="0" w:line="240" w:lineRule="auto"/>
              <w:jc w:val="center"/>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 </w:t>
            </w:r>
          </w:p>
        </w:tc>
        <w:tc>
          <w:tcPr>
            <w:tcW w:w="4165" w:type="dxa"/>
            <w:shd w:val="clear" w:color="auto" w:fill="auto"/>
            <w:vAlign w:val="center"/>
            <w:hideMark/>
          </w:tcPr>
          <w:p w:rsidR="000F76BF" w:rsidRPr="000D61A5" w:rsidRDefault="000F76BF" w:rsidP="00E1562A">
            <w:pPr>
              <w:spacing w:after="0" w:line="240" w:lineRule="auto"/>
              <w:rPr>
                <w:rFonts w:ascii="Times New Roman" w:hAnsi="Times New Roman"/>
                <w:color w:val="000000"/>
                <w:sz w:val="18"/>
                <w:szCs w:val="20"/>
                <w:lang w:val="en-US"/>
              </w:rPr>
            </w:pPr>
            <w:r w:rsidRPr="000D61A5">
              <w:rPr>
                <w:rFonts w:ascii="Times New Roman" w:hAnsi="Times New Roman"/>
                <w:color w:val="000000"/>
                <w:sz w:val="18"/>
                <w:szCs w:val="20"/>
                <w:lang w:val="en-US"/>
              </w:rPr>
              <w:t>from T3 million to T5 million</w:t>
            </w:r>
          </w:p>
        </w:tc>
        <w:tc>
          <w:tcPr>
            <w:tcW w:w="1512" w:type="dxa"/>
            <w:shd w:val="clear" w:color="auto" w:fill="auto"/>
          </w:tcPr>
          <w:p w:rsidR="000F76BF" w:rsidRPr="00102994" w:rsidRDefault="000F76BF" w:rsidP="00852CE9">
            <w:pPr>
              <w:spacing w:line="240" w:lineRule="auto"/>
              <w:jc w:val="right"/>
              <w:rPr>
                <w:rFonts w:ascii="Times New Roman" w:hAnsi="Times New Roman"/>
                <w:color w:val="000000"/>
                <w:sz w:val="18"/>
                <w:szCs w:val="16"/>
              </w:rPr>
            </w:pPr>
            <w:r w:rsidRPr="00102994">
              <w:rPr>
                <w:rFonts w:ascii="Times New Roman" w:hAnsi="Times New Roman"/>
                <w:color w:val="000000"/>
                <w:sz w:val="18"/>
                <w:szCs w:val="16"/>
              </w:rPr>
              <w:t>150 403 377</w:t>
            </w:r>
          </w:p>
        </w:tc>
        <w:tc>
          <w:tcPr>
            <w:tcW w:w="1707" w:type="dxa"/>
            <w:shd w:val="clear" w:color="auto" w:fill="auto"/>
            <w:noWrap/>
          </w:tcPr>
          <w:p w:rsidR="000F76BF" w:rsidRPr="00102994" w:rsidRDefault="000F76BF" w:rsidP="00852CE9">
            <w:pPr>
              <w:jc w:val="right"/>
              <w:rPr>
                <w:rFonts w:ascii="Times New Roman" w:hAnsi="Times New Roman"/>
                <w:i/>
                <w:iCs/>
                <w:color w:val="000000"/>
                <w:sz w:val="18"/>
                <w:szCs w:val="16"/>
              </w:rPr>
            </w:pPr>
            <w:r w:rsidRPr="00102994">
              <w:rPr>
                <w:rFonts w:ascii="Times New Roman" w:hAnsi="Times New Roman"/>
                <w:i/>
                <w:iCs/>
                <w:color w:val="000000"/>
                <w:sz w:val="18"/>
                <w:szCs w:val="16"/>
              </w:rPr>
              <w:t>-869 885</w:t>
            </w:r>
          </w:p>
        </w:tc>
        <w:tc>
          <w:tcPr>
            <w:tcW w:w="1494" w:type="dxa"/>
            <w:shd w:val="clear" w:color="auto" w:fill="auto"/>
          </w:tcPr>
          <w:p w:rsidR="000F76BF" w:rsidRPr="00102994" w:rsidRDefault="000F76BF" w:rsidP="00852CE9">
            <w:pPr>
              <w:jc w:val="right"/>
              <w:rPr>
                <w:rFonts w:ascii="Times New Roman" w:hAnsi="Times New Roman"/>
                <w:color w:val="000000"/>
                <w:sz w:val="18"/>
                <w:szCs w:val="16"/>
              </w:rPr>
            </w:pPr>
            <w:r w:rsidRPr="00102994">
              <w:rPr>
                <w:rFonts w:ascii="Times New Roman" w:hAnsi="Times New Roman"/>
                <w:color w:val="000000"/>
                <w:sz w:val="18"/>
                <w:szCs w:val="16"/>
              </w:rPr>
              <w:t>39 284</w:t>
            </w:r>
          </w:p>
        </w:tc>
      </w:tr>
      <w:tr w:rsidR="000F76BF" w:rsidRPr="00102994" w:rsidTr="001D6CAD">
        <w:trPr>
          <w:trHeight w:val="361"/>
          <w:jc w:val="center"/>
        </w:trPr>
        <w:tc>
          <w:tcPr>
            <w:tcW w:w="619" w:type="dxa"/>
            <w:shd w:val="clear" w:color="auto" w:fill="auto"/>
            <w:vAlign w:val="center"/>
            <w:hideMark/>
          </w:tcPr>
          <w:p w:rsidR="000F76BF" w:rsidRPr="00D82A04" w:rsidRDefault="000F76BF" w:rsidP="00E1562A">
            <w:pPr>
              <w:spacing w:after="0" w:line="240" w:lineRule="auto"/>
              <w:jc w:val="center"/>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 </w:t>
            </w:r>
          </w:p>
        </w:tc>
        <w:tc>
          <w:tcPr>
            <w:tcW w:w="4165" w:type="dxa"/>
            <w:shd w:val="clear" w:color="auto" w:fill="auto"/>
            <w:vAlign w:val="center"/>
            <w:hideMark/>
          </w:tcPr>
          <w:p w:rsidR="000F76BF" w:rsidRPr="000D61A5" w:rsidRDefault="000F76BF" w:rsidP="00E1562A">
            <w:pPr>
              <w:spacing w:after="0" w:line="240" w:lineRule="auto"/>
              <w:rPr>
                <w:rFonts w:ascii="Times New Roman" w:hAnsi="Times New Roman"/>
                <w:color w:val="000000"/>
                <w:sz w:val="18"/>
                <w:szCs w:val="20"/>
                <w:lang w:val="en-US"/>
              </w:rPr>
            </w:pPr>
            <w:r w:rsidRPr="000D61A5">
              <w:rPr>
                <w:rFonts w:ascii="Times New Roman" w:hAnsi="Times New Roman"/>
                <w:color w:val="000000"/>
                <w:sz w:val="18"/>
                <w:szCs w:val="20"/>
                <w:lang w:val="en-US"/>
              </w:rPr>
              <w:t>from T5 million to T10 million</w:t>
            </w:r>
          </w:p>
        </w:tc>
        <w:tc>
          <w:tcPr>
            <w:tcW w:w="1512" w:type="dxa"/>
            <w:shd w:val="clear" w:color="auto" w:fill="auto"/>
          </w:tcPr>
          <w:p w:rsidR="000F76BF" w:rsidRPr="00102994" w:rsidRDefault="000F76BF" w:rsidP="00852CE9">
            <w:pPr>
              <w:spacing w:line="240" w:lineRule="auto"/>
              <w:jc w:val="right"/>
              <w:rPr>
                <w:rFonts w:ascii="Times New Roman" w:hAnsi="Times New Roman"/>
                <w:color w:val="000000"/>
                <w:sz w:val="18"/>
                <w:szCs w:val="16"/>
              </w:rPr>
            </w:pPr>
            <w:r w:rsidRPr="00102994">
              <w:rPr>
                <w:rFonts w:ascii="Times New Roman" w:hAnsi="Times New Roman"/>
                <w:color w:val="000000"/>
                <w:sz w:val="18"/>
                <w:szCs w:val="16"/>
              </w:rPr>
              <w:t>122 575 872</w:t>
            </w:r>
          </w:p>
        </w:tc>
        <w:tc>
          <w:tcPr>
            <w:tcW w:w="1707" w:type="dxa"/>
            <w:shd w:val="clear" w:color="auto" w:fill="auto"/>
            <w:noWrap/>
          </w:tcPr>
          <w:p w:rsidR="000F76BF" w:rsidRPr="00102994" w:rsidRDefault="000F76BF" w:rsidP="00852CE9">
            <w:pPr>
              <w:jc w:val="right"/>
              <w:rPr>
                <w:rFonts w:ascii="Times New Roman" w:hAnsi="Times New Roman"/>
                <w:i/>
                <w:iCs/>
                <w:color w:val="000000"/>
                <w:sz w:val="18"/>
                <w:szCs w:val="16"/>
              </w:rPr>
            </w:pPr>
            <w:r w:rsidRPr="00102994">
              <w:rPr>
                <w:rFonts w:ascii="Times New Roman" w:hAnsi="Times New Roman"/>
                <w:i/>
                <w:iCs/>
                <w:color w:val="000000"/>
                <w:sz w:val="18"/>
                <w:szCs w:val="16"/>
              </w:rPr>
              <w:t>905 416</w:t>
            </w:r>
          </w:p>
        </w:tc>
        <w:tc>
          <w:tcPr>
            <w:tcW w:w="1494" w:type="dxa"/>
            <w:shd w:val="clear" w:color="auto" w:fill="auto"/>
          </w:tcPr>
          <w:p w:rsidR="000F76BF" w:rsidRPr="00102994" w:rsidRDefault="000F76BF" w:rsidP="00852CE9">
            <w:pPr>
              <w:jc w:val="right"/>
              <w:rPr>
                <w:rFonts w:ascii="Times New Roman" w:hAnsi="Times New Roman"/>
                <w:color w:val="000000"/>
                <w:sz w:val="18"/>
                <w:szCs w:val="16"/>
              </w:rPr>
            </w:pPr>
            <w:r w:rsidRPr="00102994">
              <w:rPr>
                <w:rFonts w:ascii="Times New Roman" w:hAnsi="Times New Roman"/>
                <w:color w:val="000000"/>
                <w:sz w:val="18"/>
                <w:szCs w:val="16"/>
              </w:rPr>
              <w:t>19 220</w:t>
            </w:r>
          </w:p>
        </w:tc>
      </w:tr>
      <w:tr w:rsidR="000F76BF" w:rsidRPr="00102994" w:rsidTr="001D6CAD">
        <w:trPr>
          <w:trHeight w:val="368"/>
          <w:jc w:val="center"/>
        </w:trPr>
        <w:tc>
          <w:tcPr>
            <w:tcW w:w="619" w:type="dxa"/>
            <w:shd w:val="clear" w:color="auto" w:fill="auto"/>
            <w:vAlign w:val="center"/>
            <w:hideMark/>
          </w:tcPr>
          <w:p w:rsidR="000F76BF" w:rsidRPr="00D82A04" w:rsidRDefault="000F76BF" w:rsidP="00E1562A">
            <w:pPr>
              <w:spacing w:after="0" w:line="240" w:lineRule="auto"/>
              <w:jc w:val="center"/>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 </w:t>
            </w:r>
          </w:p>
        </w:tc>
        <w:tc>
          <w:tcPr>
            <w:tcW w:w="4165" w:type="dxa"/>
            <w:shd w:val="clear" w:color="auto" w:fill="auto"/>
            <w:vAlign w:val="center"/>
            <w:hideMark/>
          </w:tcPr>
          <w:p w:rsidR="000F76BF" w:rsidRPr="000D61A5" w:rsidRDefault="000F76BF" w:rsidP="00E1562A">
            <w:pPr>
              <w:spacing w:after="0" w:line="240" w:lineRule="auto"/>
              <w:rPr>
                <w:rFonts w:ascii="Times New Roman" w:hAnsi="Times New Roman"/>
                <w:color w:val="000000"/>
                <w:sz w:val="18"/>
                <w:szCs w:val="20"/>
                <w:lang w:val="fr-FR"/>
              </w:rPr>
            </w:pPr>
            <w:r>
              <w:rPr>
                <w:rFonts w:ascii="Times New Roman" w:hAnsi="Times New Roman"/>
                <w:color w:val="000000"/>
                <w:sz w:val="18"/>
                <w:szCs w:val="20"/>
                <w:lang w:val="fr-FR"/>
              </w:rPr>
              <w:t xml:space="preserve">from T10 million to </w:t>
            </w:r>
            <w:r w:rsidRPr="000D61A5">
              <w:rPr>
                <w:rFonts w:ascii="Times New Roman" w:hAnsi="Times New Roman"/>
                <w:color w:val="000000"/>
                <w:sz w:val="18"/>
                <w:szCs w:val="20"/>
                <w:lang w:val="fr-FR"/>
              </w:rPr>
              <w:t>T15 million</w:t>
            </w:r>
          </w:p>
        </w:tc>
        <w:tc>
          <w:tcPr>
            <w:tcW w:w="1512" w:type="dxa"/>
            <w:shd w:val="clear" w:color="auto" w:fill="auto"/>
          </w:tcPr>
          <w:p w:rsidR="000F76BF" w:rsidRPr="00102994" w:rsidRDefault="000F76BF" w:rsidP="00852CE9">
            <w:pPr>
              <w:spacing w:line="240" w:lineRule="auto"/>
              <w:jc w:val="right"/>
              <w:rPr>
                <w:rFonts w:ascii="Times New Roman" w:hAnsi="Times New Roman"/>
                <w:color w:val="000000"/>
                <w:sz w:val="18"/>
                <w:szCs w:val="16"/>
              </w:rPr>
            </w:pPr>
            <w:r w:rsidRPr="00102994">
              <w:rPr>
                <w:rFonts w:ascii="Times New Roman" w:hAnsi="Times New Roman"/>
                <w:color w:val="000000"/>
                <w:sz w:val="18"/>
                <w:szCs w:val="16"/>
              </w:rPr>
              <w:t>33 600 761</w:t>
            </w:r>
          </w:p>
        </w:tc>
        <w:tc>
          <w:tcPr>
            <w:tcW w:w="1707" w:type="dxa"/>
            <w:shd w:val="clear" w:color="auto" w:fill="auto"/>
            <w:noWrap/>
          </w:tcPr>
          <w:p w:rsidR="000F76BF" w:rsidRPr="00102994" w:rsidRDefault="000F76BF" w:rsidP="00852CE9">
            <w:pPr>
              <w:jc w:val="right"/>
              <w:rPr>
                <w:rFonts w:ascii="Times New Roman" w:hAnsi="Times New Roman"/>
                <w:i/>
                <w:iCs/>
                <w:color w:val="000000"/>
                <w:sz w:val="18"/>
                <w:szCs w:val="16"/>
              </w:rPr>
            </w:pPr>
            <w:r w:rsidRPr="00102994">
              <w:rPr>
                <w:rFonts w:ascii="Times New Roman" w:hAnsi="Times New Roman"/>
                <w:i/>
                <w:iCs/>
                <w:color w:val="000000"/>
                <w:sz w:val="18"/>
                <w:szCs w:val="16"/>
              </w:rPr>
              <w:t>628 508</w:t>
            </w:r>
          </w:p>
        </w:tc>
        <w:tc>
          <w:tcPr>
            <w:tcW w:w="1494" w:type="dxa"/>
            <w:shd w:val="clear" w:color="auto" w:fill="auto"/>
          </w:tcPr>
          <w:p w:rsidR="000F76BF" w:rsidRPr="00102994" w:rsidRDefault="000F76BF" w:rsidP="00852CE9">
            <w:pPr>
              <w:jc w:val="right"/>
              <w:rPr>
                <w:rFonts w:ascii="Times New Roman" w:hAnsi="Times New Roman"/>
                <w:color w:val="000000"/>
                <w:sz w:val="18"/>
                <w:szCs w:val="16"/>
              </w:rPr>
            </w:pPr>
            <w:r w:rsidRPr="00102994">
              <w:rPr>
                <w:rFonts w:ascii="Times New Roman" w:hAnsi="Times New Roman"/>
                <w:color w:val="000000"/>
                <w:sz w:val="18"/>
                <w:szCs w:val="16"/>
              </w:rPr>
              <w:t>2 842</w:t>
            </w:r>
          </w:p>
        </w:tc>
      </w:tr>
      <w:tr w:rsidR="000F76BF" w:rsidRPr="00102994" w:rsidTr="001D6CAD">
        <w:trPr>
          <w:trHeight w:val="221"/>
          <w:jc w:val="center"/>
        </w:trPr>
        <w:tc>
          <w:tcPr>
            <w:tcW w:w="619" w:type="dxa"/>
            <w:shd w:val="clear" w:color="auto" w:fill="auto"/>
            <w:vAlign w:val="center"/>
            <w:hideMark/>
          </w:tcPr>
          <w:p w:rsidR="000F76BF" w:rsidRPr="00D82A04" w:rsidRDefault="000F76BF" w:rsidP="00E1562A">
            <w:pPr>
              <w:spacing w:after="0" w:line="240" w:lineRule="auto"/>
              <w:jc w:val="center"/>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 </w:t>
            </w:r>
          </w:p>
        </w:tc>
        <w:tc>
          <w:tcPr>
            <w:tcW w:w="4165" w:type="dxa"/>
            <w:shd w:val="clear" w:color="auto" w:fill="auto"/>
            <w:vAlign w:val="center"/>
            <w:hideMark/>
          </w:tcPr>
          <w:p w:rsidR="000F76BF" w:rsidRPr="000D61A5" w:rsidRDefault="000F76BF" w:rsidP="00E1562A">
            <w:pPr>
              <w:spacing w:after="0" w:line="240" w:lineRule="auto"/>
              <w:rPr>
                <w:rFonts w:ascii="Times New Roman" w:hAnsi="Times New Roman"/>
                <w:color w:val="000000"/>
                <w:sz w:val="18"/>
                <w:szCs w:val="20"/>
              </w:rPr>
            </w:pPr>
            <w:r w:rsidRPr="00A54A93">
              <w:rPr>
                <w:rFonts w:ascii="Times New Roman" w:hAnsi="Times New Roman"/>
                <w:color w:val="000000"/>
                <w:sz w:val="18"/>
                <w:szCs w:val="20"/>
                <w:lang w:val="en-US"/>
              </w:rPr>
              <w:t>over</w:t>
            </w:r>
            <w:r w:rsidRPr="000D61A5">
              <w:rPr>
                <w:rFonts w:ascii="Times New Roman" w:hAnsi="Times New Roman"/>
                <w:color w:val="000000"/>
                <w:sz w:val="18"/>
                <w:szCs w:val="20"/>
              </w:rPr>
              <w:t xml:space="preserve"> T15 </w:t>
            </w:r>
            <w:r w:rsidRPr="00A54A93">
              <w:rPr>
                <w:rFonts w:ascii="Times New Roman" w:hAnsi="Times New Roman"/>
                <w:color w:val="000000"/>
                <w:sz w:val="18"/>
                <w:szCs w:val="20"/>
                <w:lang w:val="en-US"/>
              </w:rPr>
              <w:t>million</w:t>
            </w:r>
            <w:r w:rsidRPr="000D61A5">
              <w:rPr>
                <w:rFonts w:ascii="Times New Roman" w:hAnsi="Times New Roman"/>
                <w:color w:val="000000"/>
                <w:sz w:val="18"/>
                <w:szCs w:val="20"/>
              </w:rPr>
              <w:t xml:space="preserve"> </w:t>
            </w:r>
          </w:p>
        </w:tc>
        <w:tc>
          <w:tcPr>
            <w:tcW w:w="1512" w:type="dxa"/>
            <w:shd w:val="clear" w:color="auto" w:fill="auto"/>
          </w:tcPr>
          <w:p w:rsidR="000F76BF" w:rsidRPr="00102994" w:rsidRDefault="000F76BF" w:rsidP="00852CE9">
            <w:pPr>
              <w:spacing w:line="240" w:lineRule="auto"/>
              <w:jc w:val="right"/>
              <w:rPr>
                <w:rFonts w:ascii="Times New Roman" w:hAnsi="Times New Roman"/>
                <w:color w:val="000000"/>
                <w:sz w:val="18"/>
                <w:szCs w:val="16"/>
              </w:rPr>
            </w:pPr>
            <w:r w:rsidRPr="00102994">
              <w:rPr>
                <w:rFonts w:ascii="Times New Roman" w:hAnsi="Times New Roman"/>
                <w:color w:val="000000"/>
                <w:sz w:val="18"/>
                <w:szCs w:val="16"/>
              </w:rPr>
              <w:t>188 030 085</w:t>
            </w:r>
          </w:p>
        </w:tc>
        <w:tc>
          <w:tcPr>
            <w:tcW w:w="1707" w:type="dxa"/>
            <w:shd w:val="clear" w:color="auto" w:fill="auto"/>
            <w:noWrap/>
          </w:tcPr>
          <w:p w:rsidR="000F76BF" w:rsidRPr="00102994" w:rsidRDefault="000F76BF" w:rsidP="00852CE9">
            <w:pPr>
              <w:jc w:val="right"/>
              <w:rPr>
                <w:rFonts w:ascii="Times New Roman" w:hAnsi="Times New Roman"/>
                <w:i/>
                <w:iCs/>
                <w:color w:val="000000"/>
                <w:sz w:val="18"/>
                <w:szCs w:val="16"/>
              </w:rPr>
            </w:pPr>
            <w:r w:rsidRPr="00102994">
              <w:rPr>
                <w:rFonts w:ascii="Times New Roman" w:hAnsi="Times New Roman"/>
                <w:i/>
                <w:iCs/>
                <w:color w:val="000000"/>
                <w:sz w:val="18"/>
                <w:szCs w:val="16"/>
              </w:rPr>
              <w:t>5 003 969</w:t>
            </w:r>
          </w:p>
        </w:tc>
        <w:tc>
          <w:tcPr>
            <w:tcW w:w="1494" w:type="dxa"/>
            <w:shd w:val="clear" w:color="auto" w:fill="auto"/>
          </w:tcPr>
          <w:p w:rsidR="000F76BF" w:rsidRPr="00102994" w:rsidRDefault="000F76BF" w:rsidP="00852CE9">
            <w:pPr>
              <w:jc w:val="right"/>
              <w:rPr>
                <w:rFonts w:ascii="Times New Roman" w:hAnsi="Times New Roman"/>
                <w:color w:val="000000"/>
                <w:sz w:val="18"/>
                <w:szCs w:val="16"/>
              </w:rPr>
            </w:pPr>
            <w:r w:rsidRPr="00102994">
              <w:rPr>
                <w:rFonts w:ascii="Times New Roman" w:hAnsi="Times New Roman"/>
                <w:color w:val="000000"/>
                <w:sz w:val="18"/>
                <w:szCs w:val="16"/>
              </w:rPr>
              <w:t>3 271</w:t>
            </w:r>
          </w:p>
        </w:tc>
      </w:tr>
      <w:tr w:rsidR="000F76BF" w:rsidRPr="00102994" w:rsidTr="001D6CAD">
        <w:trPr>
          <w:trHeight w:val="213"/>
          <w:jc w:val="center"/>
        </w:trPr>
        <w:tc>
          <w:tcPr>
            <w:tcW w:w="619" w:type="dxa"/>
            <w:shd w:val="clear" w:color="auto" w:fill="auto"/>
            <w:vAlign w:val="center"/>
            <w:hideMark/>
          </w:tcPr>
          <w:p w:rsidR="000F76BF" w:rsidRPr="00D82A04" w:rsidRDefault="000F76BF" w:rsidP="00E1562A">
            <w:pPr>
              <w:spacing w:after="0" w:line="240" w:lineRule="auto"/>
              <w:jc w:val="center"/>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2.2.</w:t>
            </w:r>
          </w:p>
        </w:tc>
        <w:tc>
          <w:tcPr>
            <w:tcW w:w="4165" w:type="dxa"/>
            <w:shd w:val="clear" w:color="auto" w:fill="auto"/>
            <w:vAlign w:val="center"/>
            <w:hideMark/>
          </w:tcPr>
          <w:p w:rsidR="000F76BF" w:rsidRPr="000D61A5" w:rsidRDefault="000F76BF" w:rsidP="00E1562A">
            <w:pPr>
              <w:spacing w:after="0" w:line="240" w:lineRule="auto"/>
              <w:rPr>
                <w:rFonts w:ascii="Times New Roman" w:eastAsia="Times New Roman" w:hAnsi="Times New Roman"/>
                <w:i/>
                <w:sz w:val="18"/>
                <w:szCs w:val="18"/>
                <w:lang w:eastAsia="ru-RU"/>
              </w:rPr>
            </w:pPr>
            <w:r w:rsidRPr="00A54A93">
              <w:rPr>
                <w:rFonts w:ascii="Times New Roman" w:eastAsia="Times New Roman" w:hAnsi="Times New Roman"/>
                <w:i/>
                <w:sz w:val="18"/>
                <w:szCs w:val="18"/>
                <w:lang w:val="en-US" w:eastAsia="ru-RU"/>
              </w:rPr>
              <w:t>in</w:t>
            </w:r>
            <w:r w:rsidRPr="000D61A5">
              <w:rPr>
                <w:rFonts w:ascii="Times New Roman" w:eastAsia="Times New Roman" w:hAnsi="Times New Roman"/>
                <w:i/>
                <w:sz w:val="18"/>
                <w:szCs w:val="18"/>
                <w:lang w:eastAsia="ru-RU"/>
              </w:rPr>
              <w:t xml:space="preserve"> </w:t>
            </w:r>
            <w:r w:rsidRPr="00A54A93">
              <w:rPr>
                <w:rFonts w:ascii="Times New Roman" w:eastAsia="Times New Roman" w:hAnsi="Times New Roman"/>
                <w:i/>
                <w:sz w:val="18"/>
                <w:szCs w:val="18"/>
                <w:lang w:val="en-US" w:eastAsia="ru-RU"/>
              </w:rPr>
              <w:t>foreign</w:t>
            </w:r>
            <w:r w:rsidRPr="000D61A5">
              <w:rPr>
                <w:rFonts w:ascii="Times New Roman" w:eastAsia="Times New Roman" w:hAnsi="Times New Roman"/>
                <w:i/>
                <w:sz w:val="18"/>
                <w:szCs w:val="18"/>
                <w:lang w:eastAsia="ru-RU"/>
              </w:rPr>
              <w:t xml:space="preserve"> </w:t>
            </w:r>
            <w:r w:rsidRPr="00A54A93">
              <w:rPr>
                <w:rFonts w:ascii="Times New Roman" w:eastAsia="Times New Roman" w:hAnsi="Times New Roman"/>
                <w:i/>
                <w:sz w:val="18"/>
                <w:szCs w:val="18"/>
                <w:lang w:val="en-US" w:eastAsia="ru-RU"/>
              </w:rPr>
              <w:t>currencies</w:t>
            </w:r>
            <w:r w:rsidRPr="000D61A5">
              <w:rPr>
                <w:rFonts w:ascii="Times New Roman" w:eastAsia="Times New Roman" w:hAnsi="Times New Roman"/>
                <w:i/>
                <w:sz w:val="18"/>
                <w:szCs w:val="18"/>
                <w:lang w:eastAsia="ru-RU"/>
              </w:rPr>
              <w:t xml:space="preserve">, </w:t>
            </w:r>
            <w:r w:rsidRPr="00A54A93">
              <w:rPr>
                <w:rFonts w:ascii="Times New Roman" w:eastAsia="Times New Roman" w:hAnsi="Times New Roman"/>
                <w:i/>
                <w:sz w:val="18"/>
                <w:szCs w:val="18"/>
                <w:lang w:val="en-US" w:eastAsia="ru-RU"/>
              </w:rPr>
              <w:t>including</w:t>
            </w:r>
            <w:r w:rsidRPr="000D61A5">
              <w:rPr>
                <w:rFonts w:ascii="Times New Roman" w:eastAsia="Times New Roman" w:hAnsi="Times New Roman"/>
                <w:i/>
                <w:sz w:val="18"/>
                <w:szCs w:val="18"/>
                <w:lang w:eastAsia="ru-RU"/>
              </w:rPr>
              <w:t>:</w:t>
            </w:r>
          </w:p>
        </w:tc>
        <w:tc>
          <w:tcPr>
            <w:tcW w:w="1512" w:type="dxa"/>
            <w:shd w:val="clear" w:color="auto" w:fill="auto"/>
          </w:tcPr>
          <w:p w:rsidR="000F76BF" w:rsidRPr="00102994" w:rsidRDefault="000F76BF" w:rsidP="00852CE9">
            <w:pPr>
              <w:spacing w:line="240" w:lineRule="auto"/>
              <w:jc w:val="right"/>
              <w:rPr>
                <w:rFonts w:ascii="Times New Roman" w:hAnsi="Times New Roman"/>
                <w:color w:val="000000"/>
                <w:sz w:val="18"/>
                <w:szCs w:val="16"/>
              </w:rPr>
            </w:pPr>
            <w:r w:rsidRPr="00102994">
              <w:rPr>
                <w:rFonts w:ascii="Times New Roman" w:hAnsi="Times New Roman"/>
                <w:color w:val="000000"/>
                <w:sz w:val="18"/>
                <w:szCs w:val="16"/>
              </w:rPr>
              <w:t>2 770 967 186</w:t>
            </w:r>
          </w:p>
        </w:tc>
        <w:tc>
          <w:tcPr>
            <w:tcW w:w="1707" w:type="dxa"/>
            <w:shd w:val="clear" w:color="auto" w:fill="auto"/>
            <w:noWrap/>
          </w:tcPr>
          <w:p w:rsidR="000F76BF" w:rsidRPr="00102994" w:rsidRDefault="000F76BF" w:rsidP="00852CE9">
            <w:pPr>
              <w:jc w:val="right"/>
              <w:rPr>
                <w:rFonts w:ascii="Times New Roman" w:hAnsi="Times New Roman"/>
                <w:i/>
                <w:iCs/>
                <w:color w:val="000000"/>
                <w:sz w:val="18"/>
                <w:szCs w:val="16"/>
              </w:rPr>
            </w:pPr>
            <w:r w:rsidRPr="00102994">
              <w:rPr>
                <w:rFonts w:ascii="Times New Roman" w:hAnsi="Times New Roman"/>
                <w:i/>
                <w:iCs/>
                <w:color w:val="000000"/>
                <w:sz w:val="18"/>
                <w:szCs w:val="16"/>
              </w:rPr>
              <w:t>-120 286 907</w:t>
            </w:r>
          </w:p>
        </w:tc>
        <w:tc>
          <w:tcPr>
            <w:tcW w:w="1494" w:type="dxa"/>
            <w:shd w:val="clear" w:color="auto" w:fill="auto"/>
          </w:tcPr>
          <w:p w:rsidR="000F76BF" w:rsidRPr="00102994" w:rsidRDefault="000F76BF" w:rsidP="00852CE9">
            <w:pPr>
              <w:jc w:val="right"/>
              <w:rPr>
                <w:rFonts w:ascii="Times New Roman" w:hAnsi="Times New Roman"/>
                <w:color w:val="000000"/>
                <w:sz w:val="18"/>
                <w:szCs w:val="16"/>
              </w:rPr>
            </w:pPr>
            <w:r w:rsidRPr="00102994">
              <w:rPr>
                <w:rFonts w:ascii="Times New Roman" w:hAnsi="Times New Roman"/>
                <w:color w:val="000000"/>
                <w:sz w:val="18"/>
                <w:szCs w:val="16"/>
              </w:rPr>
              <w:t>820 423</w:t>
            </w:r>
          </w:p>
        </w:tc>
      </w:tr>
      <w:tr w:rsidR="000F76BF" w:rsidRPr="00102994" w:rsidTr="001D6CAD">
        <w:trPr>
          <w:trHeight w:val="190"/>
          <w:jc w:val="center"/>
        </w:trPr>
        <w:tc>
          <w:tcPr>
            <w:tcW w:w="619" w:type="dxa"/>
            <w:shd w:val="clear" w:color="auto" w:fill="auto"/>
            <w:vAlign w:val="center"/>
            <w:hideMark/>
          </w:tcPr>
          <w:p w:rsidR="000F76BF" w:rsidRPr="00D82A04" w:rsidRDefault="000F76BF" w:rsidP="00E1562A">
            <w:pPr>
              <w:spacing w:after="0" w:line="240" w:lineRule="auto"/>
              <w:jc w:val="center"/>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 </w:t>
            </w:r>
          </w:p>
        </w:tc>
        <w:tc>
          <w:tcPr>
            <w:tcW w:w="4165" w:type="dxa"/>
            <w:shd w:val="clear" w:color="auto" w:fill="auto"/>
            <w:vAlign w:val="center"/>
            <w:hideMark/>
          </w:tcPr>
          <w:p w:rsidR="000F76BF" w:rsidRPr="000E4516" w:rsidRDefault="000F76BF" w:rsidP="00E1562A">
            <w:pPr>
              <w:spacing w:after="0" w:line="240" w:lineRule="auto"/>
              <w:rPr>
                <w:rFonts w:ascii="Times New Roman" w:hAnsi="Times New Roman"/>
                <w:color w:val="000000"/>
                <w:sz w:val="18"/>
                <w:szCs w:val="20"/>
              </w:rPr>
            </w:pPr>
            <w:r w:rsidRPr="00A54A93">
              <w:rPr>
                <w:rFonts w:ascii="Times New Roman" w:hAnsi="Times New Roman"/>
                <w:color w:val="000000"/>
                <w:sz w:val="18"/>
                <w:szCs w:val="20"/>
                <w:lang w:val="en-US"/>
              </w:rPr>
              <w:t>up</w:t>
            </w:r>
            <w:r w:rsidRPr="000E4516">
              <w:rPr>
                <w:rFonts w:ascii="Times New Roman" w:hAnsi="Times New Roman"/>
                <w:color w:val="000000"/>
                <w:sz w:val="18"/>
                <w:szCs w:val="20"/>
              </w:rPr>
              <w:t xml:space="preserve"> </w:t>
            </w:r>
            <w:r w:rsidRPr="00A54A93">
              <w:rPr>
                <w:rFonts w:ascii="Times New Roman" w:hAnsi="Times New Roman"/>
                <w:color w:val="000000"/>
                <w:sz w:val="18"/>
                <w:szCs w:val="20"/>
                <w:lang w:val="en-US"/>
              </w:rPr>
              <w:t>to</w:t>
            </w:r>
            <w:r w:rsidRPr="000E4516">
              <w:rPr>
                <w:rFonts w:ascii="Times New Roman" w:hAnsi="Times New Roman"/>
                <w:color w:val="000000"/>
                <w:sz w:val="18"/>
                <w:szCs w:val="20"/>
              </w:rPr>
              <w:t xml:space="preserve"> T1 </w:t>
            </w:r>
            <w:r w:rsidRPr="00A54A93">
              <w:rPr>
                <w:rFonts w:ascii="Times New Roman" w:hAnsi="Times New Roman"/>
                <w:color w:val="000000"/>
                <w:sz w:val="18"/>
                <w:szCs w:val="20"/>
                <w:lang w:val="en-US"/>
              </w:rPr>
              <w:t>million</w:t>
            </w:r>
          </w:p>
        </w:tc>
        <w:tc>
          <w:tcPr>
            <w:tcW w:w="1512" w:type="dxa"/>
            <w:shd w:val="clear" w:color="auto" w:fill="auto"/>
          </w:tcPr>
          <w:p w:rsidR="000F76BF" w:rsidRPr="00102994" w:rsidRDefault="000F76BF" w:rsidP="00852CE9">
            <w:pPr>
              <w:spacing w:line="240" w:lineRule="auto"/>
              <w:jc w:val="right"/>
              <w:rPr>
                <w:rFonts w:ascii="Times New Roman" w:hAnsi="Times New Roman"/>
                <w:color w:val="000000"/>
                <w:sz w:val="18"/>
                <w:szCs w:val="16"/>
              </w:rPr>
            </w:pPr>
            <w:r w:rsidRPr="00102994">
              <w:rPr>
                <w:rFonts w:ascii="Times New Roman" w:hAnsi="Times New Roman"/>
                <w:color w:val="000000"/>
                <w:sz w:val="18"/>
                <w:szCs w:val="16"/>
              </w:rPr>
              <w:t>112 270 548</w:t>
            </w:r>
          </w:p>
        </w:tc>
        <w:tc>
          <w:tcPr>
            <w:tcW w:w="1707" w:type="dxa"/>
            <w:shd w:val="clear" w:color="auto" w:fill="auto"/>
            <w:noWrap/>
          </w:tcPr>
          <w:p w:rsidR="000F76BF" w:rsidRPr="00102994" w:rsidRDefault="000F76BF" w:rsidP="00852CE9">
            <w:pPr>
              <w:jc w:val="right"/>
              <w:rPr>
                <w:rFonts w:ascii="Times New Roman" w:hAnsi="Times New Roman"/>
                <w:i/>
                <w:iCs/>
                <w:color w:val="000000"/>
                <w:sz w:val="18"/>
                <w:szCs w:val="16"/>
              </w:rPr>
            </w:pPr>
            <w:r w:rsidRPr="00102994">
              <w:rPr>
                <w:rFonts w:ascii="Times New Roman" w:hAnsi="Times New Roman"/>
                <w:i/>
                <w:iCs/>
                <w:color w:val="000000"/>
                <w:sz w:val="18"/>
                <w:szCs w:val="16"/>
              </w:rPr>
              <w:t>668 584</w:t>
            </w:r>
          </w:p>
        </w:tc>
        <w:tc>
          <w:tcPr>
            <w:tcW w:w="1494" w:type="dxa"/>
            <w:shd w:val="clear" w:color="auto" w:fill="auto"/>
          </w:tcPr>
          <w:p w:rsidR="000F76BF" w:rsidRPr="00102994" w:rsidRDefault="000F76BF" w:rsidP="00852CE9">
            <w:pPr>
              <w:jc w:val="right"/>
              <w:rPr>
                <w:rFonts w:ascii="Times New Roman" w:hAnsi="Times New Roman"/>
                <w:color w:val="000000"/>
                <w:sz w:val="18"/>
                <w:szCs w:val="16"/>
              </w:rPr>
            </w:pPr>
            <w:r w:rsidRPr="00102994">
              <w:rPr>
                <w:rFonts w:ascii="Times New Roman" w:hAnsi="Times New Roman"/>
                <w:color w:val="000000"/>
                <w:sz w:val="18"/>
                <w:szCs w:val="16"/>
              </w:rPr>
              <w:t>556 856</w:t>
            </w:r>
          </w:p>
        </w:tc>
      </w:tr>
      <w:tr w:rsidR="000F76BF" w:rsidRPr="00102994" w:rsidTr="001D6CAD">
        <w:trPr>
          <w:trHeight w:val="319"/>
          <w:jc w:val="center"/>
        </w:trPr>
        <w:tc>
          <w:tcPr>
            <w:tcW w:w="619" w:type="dxa"/>
            <w:shd w:val="clear" w:color="auto" w:fill="auto"/>
            <w:vAlign w:val="center"/>
            <w:hideMark/>
          </w:tcPr>
          <w:p w:rsidR="000F76BF" w:rsidRPr="00D82A04" w:rsidRDefault="000F76BF" w:rsidP="00E1562A">
            <w:pPr>
              <w:spacing w:after="0" w:line="240" w:lineRule="auto"/>
              <w:jc w:val="center"/>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 </w:t>
            </w:r>
          </w:p>
        </w:tc>
        <w:tc>
          <w:tcPr>
            <w:tcW w:w="4165" w:type="dxa"/>
            <w:shd w:val="clear" w:color="auto" w:fill="auto"/>
            <w:vAlign w:val="center"/>
            <w:hideMark/>
          </w:tcPr>
          <w:p w:rsidR="000F76BF" w:rsidRPr="000E4516" w:rsidRDefault="000F76BF" w:rsidP="00E1562A">
            <w:pPr>
              <w:spacing w:after="0" w:line="240" w:lineRule="auto"/>
              <w:rPr>
                <w:rFonts w:ascii="Times New Roman" w:hAnsi="Times New Roman"/>
                <w:color w:val="000000"/>
                <w:sz w:val="18"/>
                <w:szCs w:val="20"/>
                <w:lang w:val="en-US"/>
              </w:rPr>
            </w:pPr>
            <w:r w:rsidRPr="000E4516">
              <w:rPr>
                <w:rFonts w:ascii="Times New Roman" w:hAnsi="Times New Roman"/>
                <w:color w:val="000000"/>
                <w:sz w:val="18"/>
                <w:szCs w:val="20"/>
                <w:lang w:val="en-US"/>
              </w:rPr>
              <w:t>from T1 million to T3 million</w:t>
            </w:r>
          </w:p>
        </w:tc>
        <w:tc>
          <w:tcPr>
            <w:tcW w:w="1512" w:type="dxa"/>
            <w:shd w:val="clear" w:color="auto" w:fill="auto"/>
          </w:tcPr>
          <w:p w:rsidR="000F76BF" w:rsidRPr="00102994" w:rsidRDefault="000F76BF" w:rsidP="00852CE9">
            <w:pPr>
              <w:spacing w:line="240" w:lineRule="auto"/>
              <w:jc w:val="right"/>
              <w:rPr>
                <w:rFonts w:ascii="Times New Roman" w:hAnsi="Times New Roman"/>
                <w:color w:val="000000"/>
                <w:sz w:val="18"/>
                <w:szCs w:val="16"/>
              </w:rPr>
            </w:pPr>
            <w:r w:rsidRPr="00102994">
              <w:rPr>
                <w:rFonts w:ascii="Times New Roman" w:hAnsi="Times New Roman"/>
                <w:color w:val="000000"/>
                <w:sz w:val="18"/>
                <w:szCs w:val="16"/>
              </w:rPr>
              <w:t>248 762 610</w:t>
            </w:r>
          </w:p>
        </w:tc>
        <w:tc>
          <w:tcPr>
            <w:tcW w:w="1707" w:type="dxa"/>
            <w:shd w:val="clear" w:color="auto" w:fill="auto"/>
            <w:noWrap/>
          </w:tcPr>
          <w:p w:rsidR="000F76BF" w:rsidRPr="00102994" w:rsidRDefault="000F76BF" w:rsidP="00852CE9">
            <w:pPr>
              <w:jc w:val="right"/>
              <w:rPr>
                <w:rFonts w:ascii="Times New Roman" w:hAnsi="Times New Roman"/>
                <w:i/>
                <w:iCs/>
                <w:color w:val="000000"/>
                <w:sz w:val="18"/>
                <w:szCs w:val="16"/>
              </w:rPr>
            </w:pPr>
            <w:r w:rsidRPr="00102994">
              <w:rPr>
                <w:rFonts w:ascii="Times New Roman" w:hAnsi="Times New Roman"/>
                <w:i/>
                <w:iCs/>
                <w:color w:val="000000"/>
                <w:sz w:val="18"/>
                <w:szCs w:val="16"/>
              </w:rPr>
              <w:t>861 485</w:t>
            </w:r>
          </w:p>
        </w:tc>
        <w:tc>
          <w:tcPr>
            <w:tcW w:w="1494" w:type="dxa"/>
            <w:shd w:val="clear" w:color="auto" w:fill="auto"/>
          </w:tcPr>
          <w:p w:rsidR="000F76BF" w:rsidRPr="00102994" w:rsidRDefault="000F76BF" w:rsidP="00852CE9">
            <w:pPr>
              <w:jc w:val="right"/>
              <w:rPr>
                <w:rFonts w:ascii="Times New Roman" w:hAnsi="Times New Roman"/>
                <w:color w:val="000000"/>
                <w:sz w:val="18"/>
                <w:szCs w:val="16"/>
              </w:rPr>
            </w:pPr>
            <w:r w:rsidRPr="00102994">
              <w:rPr>
                <w:rFonts w:ascii="Times New Roman" w:hAnsi="Times New Roman"/>
                <w:color w:val="000000"/>
                <w:sz w:val="18"/>
                <w:szCs w:val="16"/>
              </w:rPr>
              <w:t>140 244</w:t>
            </w:r>
          </w:p>
        </w:tc>
      </w:tr>
      <w:tr w:rsidR="000F76BF" w:rsidRPr="00102994" w:rsidTr="001D6CAD">
        <w:trPr>
          <w:trHeight w:val="325"/>
          <w:jc w:val="center"/>
        </w:trPr>
        <w:tc>
          <w:tcPr>
            <w:tcW w:w="619" w:type="dxa"/>
            <w:shd w:val="clear" w:color="auto" w:fill="auto"/>
            <w:vAlign w:val="center"/>
            <w:hideMark/>
          </w:tcPr>
          <w:p w:rsidR="000F76BF" w:rsidRPr="00D82A04" w:rsidRDefault="000F76BF" w:rsidP="00E1562A">
            <w:pPr>
              <w:spacing w:after="0" w:line="240" w:lineRule="auto"/>
              <w:jc w:val="center"/>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 </w:t>
            </w:r>
          </w:p>
        </w:tc>
        <w:tc>
          <w:tcPr>
            <w:tcW w:w="4165" w:type="dxa"/>
            <w:shd w:val="clear" w:color="auto" w:fill="auto"/>
            <w:vAlign w:val="center"/>
            <w:hideMark/>
          </w:tcPr>
          <w:p w:rsidR="000F76BF" w:rsidRPr="000E4516" w:rsidRDefault="000F76BF" w:rsidP="00E1562A">
            <w:pPr>
              <w:spacing w:after="0" w:line="240" w:lineRule="auto"/>
              <w:rPr>
                <w:rFonts w:ascii="Times New Roman" w:hAnsi="Times New Roman"/>
                <w:color w:val="000000"/>
                <w:sz w:val="18"/>
                <w:szCs w:val="20"/>
                <w:lang w:val="en-US"/>
              </w:rPr>
            </w:pPr>
            <w:r w:rsidRPr="000E4516">
              <w:rPr>
                <w:rFonts w:ascii="Times New Roman" w:hAnsi="Times New Roman"/>
                <w:color w:val="000000"/>
                <w:sz w:val="18"/>
                <w:szCs w:val="20"/>
                <w:lang w:val="en-US"/>
              </w:rPr>
              <w:t>from T3 million to T5 million</w:t>
            </w:r>
          </w:p>
        </w:tc>
        <w:tc>
          <w:tcPr>
            <w:tcW w:w="1512" w:type="dxa"/>
            <w:shd w:val="clear" w:color="auto" w:fill="auto"/>
          </w:tcPr>
          <w:p w:rsidR="000F76BF" w:rsidRPr="00102994" w:rsidRDefault="000F76BF" w:rsidP="00852CE9">
            <w:pPr>
              <w:spacing w:line="240" w:lineRule="auto"/>
              <w:jc w:val="right"/>
              <w:rPr>
                <w:rFonts w:ascii="Times New Roman" w:hAnsi="Times New Roman"/>
                <w:color w:val="000000"/>
                <w:sz w:val="18"/>
                <w:szCs w:val="16"/>
              </w:rPr>
            </w:pPr>
            <w:r w:rsidRPr="00102994">
              <w:rPr>
                <w:rFonts w:ascii="Times New Roman" w:hAnsi="Times New Roman"/>
                <w:color w:val="000000"/>
                <w:sz w:val="18"/>
                <w:szCs w:val="16"/>
              </w:rPr>
              <w:t>212 908 971</w:t>
            </w:r>
          </w:p>
        </w:tc>
        <w:tc>
          <w:tcPr>
            <w:tcW w:w="1707" w:type="dxa"/>
            <w:shd w:val="clear" w:color="auto" w:fill="auto"/>
            <w:noWrap/>
          </w:tcPr>
          <w:p w:rsidR="000F76BF" w:rsidRPr="00102994" w:rsidRDefault="000F76BF" w:rsidP="00852CE9">
            <w:pPr>
              <w:jc w:val="right"/>
              <w:rPr>
                <w:rFonts w:ascii="Times New Roman" w:hAnsi="Times New Roman"/>
                <w:i/>
                <w:iCs/>
                <w:color w:val="000000"/>
                <w:sz w:val="18"/>
                <w:szCs w:val="16"/>
              </w:rPr>
            </w:pPr>
            <w:r w:rsidRPr="00102994">
              <w:rPr>
                <w:rFonts w:ascii="Times New Roman" w:hAnsi="Times New Roman"/>
                <w:i/>
                <w:iCs/>
                <w:color w:val="000000"/>
                <w:sz w:val="18"/>
                <w:szCs w:val="16"/>
              </w:rPr>
              <w:t>-5 561 257</w:t>
            </w:r>
          </w:p>
        </w:tc>
        <w:tc>
          <w:tcPr>
            <w:tcW w:w="1494" w:type="dxa"/>
            <w:shd w:val="clear" w:color="auto" w:fill="auto"/>
          </w:tcPr>
          <w:p w:rsidR="000F76BF" w:rsidRPr="00102994" w:rsidRDefault="000F76BF" w:rsidP="00852CE9">
            <w:pPr>
              <w:jc w:val="right"/>
              <w:rPr>
                <w:rFonts w:ascii="Times New Roman" w:hAnsi="Times New Roman"/>
                <w:color w:val="000000"/>
                <w:sz w:val="18"/>
                <w:szCs w:val="16"/>
              </w:rPr>
            </w:pPr>
            <w:r w:rsidRPr="00102994">
              <w:rPr>
                <w:rFonts w:ascii="Times New Roman" w:hAnsi="Times New Roman"/>
                <w:color w:val="000000"/>
                <w:sz w:val="18"/>
                <w:szCs w:val="16"/>
              </w:rPr>
              <w:t>53 982</w:t>
            </w:r>
          </w:p>
        </w:tc>
      </w:tr>
      <w:tr w:rsidR="000F76BF" w:rsidRPr="00102994" w:rsidTr="001D6CAD">
        <w:trPr>
          <w:trHeight w:val="511"/>
          <w:jc w:val="center"/>
        </w:trPr>
        <w:tc>
          <w:tcPr>
            <w:tcW w:w="619" w:type="dxa"/>
            <w:shd w:val="clear" w:color="auto" w:fill="auto"/>
            <w:vAlign w:val="center"/>
            <w:hideMark/>
          </w:tcPr>
          <w:p w:rsidR="000F76BF" w:rsidRPr="00D82A04" w:rsidRDefault="000F76BF" w:rsidP="00E1562A">
            <w:pPr>
              <w:spacing w:after="0" w:line="240" w:lineRule="auto"/>
              <w:jc w:val="center"/>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 </w:t>
            </w:r>
          </w:p>
        </w:tc>
        <w:tc>
          <w:tcPr>
            <w:tcW w:w="4165" w:type="dxa"/>
            <w:shd w:val="clear" w:color="auto" w:fill="auto"/>
            <w:vAlign w:val="center"/>
            <w:hideMark/>
          </w:tcPr>
          <w:p w:rsidR="000F76BF" w:rsidRPr="000E4516" w:rsidRDefault="000F76BF" w:rsidP="00E1562A">
            <w:pPr>
              <w:spacing w:after="0" w:line="240" w:lineRule="auto"/>
              <w:rPr>
                <w:rFonts w:ascii="Times New Roman" w:hAnsi="Times New Roman"/>
                <w:color w:val="000000"/>
                <w:sz w:val="18"/>
                <w:szCs w:val="20"/>
                <w:lang w:val="en-US"/>
              </w:rPr>
            </w:pPr>
            <w:r w:rsidRPr="000E4516">
              <w:rPr>
                <w:rFonts w:ascii="Times New Roman" w:hAnsi="Times New Roman"/>
                <w:color w:val="000000"/>
                <w:sz w:val="18"/>
                <w:szCs w:val="20"/>
                <w:lang w:val="en-US"/>
              </w:rPr>
              <w:t>from T5 million to T10 million</w:t>
            </w:r>
          </w:p>
        </w:tc>
        <w:tc>
          <w:tcPr>
            <w:tcW w:w="1512" w:type="dxa"/>
            <w:shd w:val="clear" w:color="auto" w:fill="auto"/>
          </w:tcPr>
          <w:p w:rsidR="000F76BF" w:rsidRPr="00102994" w:rsidRDefault="000F76BF" w:rsidP="00852CE9">
            <w:pPr>
              <w:spacing w:line="240" w:lineRule="auto"/>
              <w:jc w:val="right"/>
              <w:rPr>
                <w:rFonts w:ascii="Times New Roman" w:hAnsi="Times New Roman"/>
                <w:color w:val="000000"/>
                <w:sz w:val="18"/>
                <w:szCs w:val="16"/>
              </w:rPr>
            </w:pPr>
            <w:r w:rsidRPr="00102994">
              <w:rPr>
                <w:rFonts w:ascii="Times New Roman" w:hAnsi="Times New Roman"/>
                <w:color w:val="000000"/>
                <w:sz w:val="18"/>
                <w:szCs w:val="16"/>
              </w:rPr>
              <w:t>269 869 551</w:t>
            </w:r>
          </w:p>
        </w:tc>
        <w:tc>
          <w:tcPr>
            <w:tcW w:w="1707" w:type="dxa"/>
            <w:shd w:val="clear" w:color="auto" w:fill="auto"/>
            <w:noWrap/>
          </w:tcPr>
          <w:p w:rsidR="000F76BF" w:rsidRPr="00102994" w:rsidRDefault="000F76BF" w:rsidP="00852CE9">
            <w:pPr>
              <w:jc w:val="right"/>
              <w:rPr>
                <w:rFonts w:ascii="Times New Roman" w:hAnsi="Times New Roman"/>
                <w:i/>
                <w:iCs/>
                <w:color w:val="000000"/>
                <w:sz w:val="18"/>
                <w:szCs w:val="16"/>
              </w:rPr>
            </w:pPr>
            <w:r w:rsidRPr="00102994">
              <w:rPr>
                <w:rFonts w:ascii="Times New Roman" w:hAnsi="Times New Roman"/>
                <w:i/>
                <w:iCs/>
                <w:color w:val="000000"/>
                <w:sz w:val="18"/>
                <w:szCs w:val="16"/>
              </w:rPr>
              <w:t>13 068 415</w:t>
            </w:r>
          </w:p>
        </w:tc>
        <w:tc>
          <w:tcPr>
            <w:tcW w:w="1494" w:type="dxa"/>
            <w:shd w:val="clear" w:color="auto" w:fill="auto"/>
          </w:tcPr>
          <w:p w:rsidR="000F76BF" w:rsidRPr="00102994" w:rsidRDefault="000F76BF" w:rsidP="00852CE9">
            <w:pPr>
              <w:jc w:val="right"/>
              <w:rPr>
                <w:rFonts w:ascii="Times New Roman" w:hAnsi="Times New Roman"/>
                <w:color w:val="000000"/>
                <w:sz w:val="18"/>
                <w:szCs w:val="16"/>
              </w:rPr>
            </w:pPr>
            <w:r w:rsidRPr="00102994">
              <w:rPr>
                <w:rFonts w:ascii="Times New Roman" w:hAnsi="Times New Roman"/>
                <w:color w:val="000000"/>
                <w:sz w:val="18"/>
                <w:szCs w:val="16"/>
              </w:rPr>
              <w:t>39 976</w:t>
            </w:r>
          </w:p>
        </w:tc>
      </w:tr>
      <w:tr w:rsidR="000F76BF" w:rsidRPr="00102994" w:rsidTr="001D6CAD">
        <w:trPr>
          <w:trHeight w:val="367"/>
          <w:jc w:val="center"/>
        </w:trPr>
        <w:tc>
          <w:tcPr>
            <w:tcW w:w="619" w:type="dxa"/>
            <w:shd w:val="clear" w:color="auto" w:fill="auto"/>
            <w:vAlign w:val="center"/>
            <w:hideMark/>
          </w:tcPr>
          <w:p w:rsidR="000F76BF" w:rsidRPr="00D82A04" w:rsidRDefault="000F76BF" w:rsidP="00E1562A">
            <w:pPr>
              <w:spacing w:after="0" w:line="240" w:lineRule="auto"/>
              <w:jc w:val="center"/>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 </w:t>
            </w:r>
          </w:p>
        </w:tc>
        <w:tc>
          <w:tcPr>
            <w:tcW w:w="4165" w:type="dxa"/>
            <w:shd w:val="clear" w:color="auto" w:fill="auto"/>
            <w:vAlign w:val="center"/>
            <w:hideMark/>
          </w:tcPr>
          <w:p w:rsidR="000F76BF" w:rsidRPr="000E4516" w:rsidRDefault="000F76BF" w:rsidP="00E1562A">
            <w:pPr>
              <w:spacing w:after="0" w:line="240" w:lineRule="auto"/>
              <w:rPr>
                <w:rFonts w:ascii="Times New Roman" w:hAnsi="Times New Roman"/>
                <w:color w:val="000000"/>
                <w:sz w:val="18"/>
                <w:szCs w:val="20"/>
                <w:lang w:val="en-US"/>
              </w:rPr>
            </w:pPr>
            <w:r w:rsidRPr="000E4516">
              <w:rPr>
                <w:rFonts w:ascii="Times New Roman" w:hAnsi="Times New Roman"/>
                <w:color w:val="000000"/>
                <w:sz w:val="18"/>
                <w:szCs w:val="20"/>
                <w:lang w:val="en-US"/>
              </w:rPr>
              <w:t>from T10 million to T15 million</w:t>
            </w:r>
          </w:p>
        </w:tc>
        <w:tc>
          <w:tcPr>
            <w:tcW w:w="1512" w:type="dxa"/>
            <w:shd w:val="clear" w:color="auto" w:fill="auto"/>
          </w:tcPr>
          <w:p w:rsidR="000F76BF" w:rsidRPr="00102994" w:rsidRDefault="000F76BF" w:rsidP="00852CE9">
            <w:pPr>
              <w:spacing w:line="240" w:lineRule="auto"/>
              <w:jc w:val="right"/>
              <w:rPr>
                <w:rFonts w:ascii="Times New Roman" w:hAnsi="Times New Roman"/>
                <w:color w:val="000000"/>
                <w:sz w:val="18"/>
                <w:szCs w:val="16"/>
              </w:rPr>
            </w:pPr>
            <w:r w:rsidRPr="00102994">
              <w:rPr>
                <w:rFonts w:ascii="Times New Roman" w:hAnsi="Times New Roman"/>
                <w:color w:val="000000"/>
                <w:sz w:val="18"/>
                <w:szCs w:val="16"/>
              </w:rPr>
              <w:t>118 772 444</w:t>
            </w:r>
          </w:p>
        </w:tc>
        <w:tc>
          <w:tcPr>
            <w:tcW w:w="1707" w:type="dxa"/>
            <w:shd w:val="clear" w:color="auto" w:fill="auto"/>
            <w:noWrap/>
          </w:tcPr>
          <w:p w:rsidR="000F76BF" w:rsidRPr="00102994" w:rsidRDefault="000F76BF" w:rsidP="00852CE9">
            <w:pPr>
              <w:jc w:val="right"/>
              <w:rPr>
                <w:rFonts w:ascii="Times New Roman" w:hAnsi="Times New Roman"/>
                <w:i/>
                <w:iCs/>
                <w:color w:val="000000"/>
                <w:sz w:val="18"/>
                <w:szCs w:val="16"/>
              </w:rPr>
            </w:pPr>
            <w:r w:rsidRPr="00102994">
              <w:rPr>
                <w:rFonts w:ascii="Times New Roman" w:hAnsi="Times New Roman"/>
                <w:i/>
                <w:iCs/>
                <w:color w:val="000000"/>
                <w:sz w:val="18"/>
                <w:szCs w:val="16"/>
              </w:rPr>
              <w:t>-42 870</w:t>
            </w:r>
          </w:p>
        </w:tc>
        <w:tc>
          <w:tcPr>
            <w:tcW w:w="1494" w:type="dxa"/>
            <w:shd w:val="clear" w:color="auto" w:fill="auto"/>
          </w:tcPr>
          <w:p w:rsidR="000F76BF" w:rsidRPr="00102994" w:rsidRDefault="000F76BF" w:rsidP="00852CE9">
            <w:pPr>
              <w:jc w:val="right"/>
              <w:rPr>
                <w:rFonts w:ascii="Times New Roman" w:hAnsi="Times New Roman"/>
                <w:color w:val="000000"/>
                <w:sz w:val="18"/>
                <w:szCs w:val="16"/>
              </w:rPr>
            </w:pPr>
            <w:r w:rsidRPr="00102994">
              <w:rPr>
                <w:rFonts w:ascii="Times New Roman" w:hAnsi="Times New Roman"/>
                <w:color w:val="000000"/>
                <w:sz w:val="18"/>
                <w:szCs w:val="16"/>
              </w:rPr>
              <w:t>9 821</w:t>
            </w:r>
          </w:p>
        </w:tc>
      </w:tr>
      <w:tr w:rsidR="000F76BF" w:rsidRPr="00102994" w:rsidTr="001D6CAD">
        <w:trPr>
          <w:trHeight w:val="281"/>
          <w:jc w:val="center"/>
        </w:trPr>
        <w:tc>
          <w:tcPr>
            <w:tcW w:w="619" w:type="dxa"/>
            <w:shd w:val="clear" w:color="auto" w:fill="auto"/>
            <w:vAlign w:val="center"/>
            <w:hideMark/>
          </w:tcPr>
          <w:p w:rsidR="000F76BF" w:rsidRPr="00D82A04" w:rsidRDefault="000F76BF" w:rsidP="00E1562A">
            <w:pPr>
              <w:spacing w:after="0" w:line="240" w:lineRule="auto"/>
              <w:jc w:val="center"/>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 </w:t>
            </w:r>
          </w:p>
        </w:tc>
        <w:tc>
          <w:tcPr>
            <w:tcW w:w="4165" w:type="dxa"/>
            <w:shd w:val="clear" w:color="auto" w:fill="auto"/>
            <w:vAlign w:val="center"/>
            <w:hideMark/>
          </w:tcPr>
          <w:p w:rsidR="000F76BF" w:rsidRPr="000E4516" w:rsidRDefault="000F76BF" w:rsidP="00E1562A">
            <w:pPr>
              <w:spacing w:after="0" w:line="240" w:lineRule="auto"/>
              <w:rPr>
                <w:rFonts w:ascii="Times New Roman" w:hAnsi="Times New Roman"/>
                <w:color w:val="000000"/>
                <w:sz w:val="18"/>
                <w:szCs w:val="20"/>
              </w:rPr>
            </w:pPr>
            <w:r w:rsidRPr="00A54A93">
              <w:rPr>
                <w:rFonts w:ascii="Times New Roman" w:hAnsi="Times New Roman"/>
                <w:color w:val="000000"/>
                <w:sz w:val="18"/>
                <w:szCs w:val="20"/>
                <w:lang w:val="en-US"/>
              </w:rPr>
              <w:t>over</w:t>
            </w:r>
            <w:r w:rsidRPr="000E4516">
              <w:rPr>
                <w:rFonts w:ascii="Times New Roman" w:hAnsi="Times New Roman"/>
                <w:color w:val="000000"/>
                <w:sz w:val="18"/>
                <w:szCs w:val="20"/>
              </w:rPr>
              <w:t xml:space="preserve"> T15 </w:t>
            </w:r>
            <w:r w:rsidRPr="00A54A93">
              <w:rPr>
                <w:rFonts w:ascii="Times New Roman" w:hAnsi="Times New Roman"/>
                <w:color w:val="000000"/>
                <w:sz w:val="18"/>
                <w:szCs w:val="20"/>
                <w:lang w:val="en-US"/>
              </w:rPr>
              <w:t>million</w:t>
            </w:r>
          </w:p>
        </w:tc>
        <w:tc>
          <w:tcPr>
            <w:tcW w:w="1512" w:type="dxa"/>
            <w:shd w:val="clear" w:color="auto" w:fill="auto"/>
          </w:tcPr>
          <w:p w:rsidR="000F76BF" w:rsidRPr="00102994" w:rsidRDefault="000F76BF" w:rsidP="00852CE9">
            <w:pPr>
              <w:spacing w:line="240" w:lineRule="auto"/>
              <w:jc w:val="right"/>
              <w:rPr>
                <w:rFonts w:ascii="Times New Roman" w:hAnsi="Times New Roman"/>
                <w:color w:val="000000"/>
                <w:sz w:val="18"/>
                <w:szCs w:val="16"/>
              </w:rPr>
            </w:pPr>
            <w:r w:rsidRPr="00102994">
              <w:rPr>
                <w:rFonts w:ascii="Times New Roman" w:hAnsi="Times New Roman"/>
                <w:color w:val="000000"/>
                <w:sz w:val="18"/>
                <w:szCs w:val="16"/>
              </w:rPr>
              <w:t>1 808 383 062</w:t>
            </w:r>
          </w:p>
        </w:tc>
        <w:tc>
          <w:tcPr>
            <w:tcW w:w="1707" w:type="dxa"/>
            <w:shd w:val="clear" w:color="auto" w:fill="auto"/>
            <w:noWrap/>
          </w:tcPr>
          <w:p w:rsidR="000F76BF" w:rsidRPr="00102994" w:rsidRDefault="000F76BF" w:rsidP="00852CE9">
            <w:pPr>
              <w:jc w:val="right"/>
              <w:rPr>
                <w:rFonts w:ascii="Times New Roman" w:hAnsi="Times New Roman"/>
                <w:i/>
                <w:iCs/>
                <w:color w:val="000000"/>
                <w:sz w:val="18"/>
                <w:szCs w:val="16"/>
              </w:rPr>
            </w:pPr>
            <w:r w:rsidRPr="00102994">
              <w:rPr>
                <w:rFonts w:ascii="Times New Roman" w:hAnsi="Times New Roman"/>
                <w:i/>
                <w:iCs/>
                <w:color w:val="000000"/>
                <w:sz w:val="18"/>
                <w:szCs w:val="16"/>
              </w:rPr>
              <w:t>-129 281 265</w:t>
            </w:r>
          </w:p>
        </w:tc>
        <w:tc>
          <w:tcPr>
            <w:tcW w:w="1494" w:type="dxa"/>
            <w:shd w:val="clear" w:color="auto" w:fill="auto"/>
          </w:tcPr>
          <w:p w:rsidR="000F76BF" w:rsidRPr="00102994" w:rsidRDefault="000F76BF" w:rsidP="00852CE9">
            <w:pPr>
              <w:jc w:val="right"/>
              <w:rPr>
                <w:rFonts w:ascii="Times New Roman" w:hAnsi="Times New Roman"/>
                <w:color w:val="000000"/>
                <w:sz w:val="18"/>
                <w:szCs w:val="16"/>
              </w:rPr>
            </w:pPr>
            <w:r w:rsidRPr="00102994">
              <w:rPr>
                <w:rFonts w:ascii="Times New Roman" w:hAnsi="Times New Roman"/>
                <w:color w:val="000000"/>
                <w:sz w:val="18"/>
                <w:szCs w:val="16"/>
              </w:rPr>
              <w:t>19 544</w:t>
            </w:r>
          </w:p>
        </w:tc>
      </w:tr>
      <w:tr w:rsidR="000F76BF" w:rsidRPr="00102994" w:rsidTr="001D6CAD">
        <w:trPr>
          <w:trHeight w:val="690"/>
          <w:jc w:val="center"/>
        </w:trPr>
        <w:tc>
          <w:tcPr>
            <w:tcW w:w="619" w:type="dxa"/>
            <w:shd w:val="clear" w:color="auto" w:fill="auto"/>
            <w:vAlign w:val="center"/>
            <w:hideMark/>
          </w:tcPr>
          <w:p w:rsidR="000F76BF" w:rsidRPr="00D82A04" w:rsidRDefault="000F76BF" w:rsidP="00E1562A">
            <w:pPr>
              <w:spacing w:after="0" w:line="240" w:lineRule="auto"/>
              <w:jc w:val="center"/>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 </w:t>
            </w:r>
          </w:p>
        </w:tc>
        <w:tc>
          <w:tcPr>
            <w:tcW w:w="4165" w:type="dxa"/>
            <w:shd w:val="clear" w:color="auto" w:fill="auto"/>
            <w:vAlign w:val="center"/>
            <w:hideMark/>
          </w:tcPr>
          <w:p w:rsidR="000F76BF" w:rsidRPr="005509DC" w:rsidRDefault="000F76BF" w:rsidP="00E1562A">
            <w:pPr>
              <w:spacing w:after="0" w:line="240" w:lineRule="auto"/>
              <w:rPr>
                <w:rFonts w:ascii="Times New Roman" w:eastAsia="Times New Roman" w:hAnsi="Times New Roman"/>
                <w:sz w:val="18"/>
                <w:szCs w:val="18"/>
                <w:lang w:val="en-US" w:eastAsia="ru-RU"/>
              </w:rPr>
            </w:pPr>
            <w:r w:rsidRPr="005509DC">
              <w:rPr>
                <w:rFonts w:ascii="Times New Roman" w:eastAsia="Times New Roman" w:hAnsi="Times New Roman"/>
                <w:sz w:val="18"/>
                <w:szCs w:val="18"/>
                <w:lang w:val="en-US" w:eastAsia="ru-RU"/>
              </w:rPr>
              <w:t>Term and conditional deposits of the member-banks’ top-management, as well as their shareholders holding in total five or more per cent of the banks’ voting shares, and their close relatives</w:t>
            </w:r>
          </w:p>
        </w:tc>
        <w:tc>
          <w:tcPr>
            <w:tcW w:w="1512" w:type="dxa"/>
            <w:shd w:val="clear" w:color="auto" w:fill="auto"/>
          </w:tcPr>
          <w:p w:rsidR="000F76BF" w:rsidRPr="00102994" w:rsidRDefault="000F76BF" w:rsidP="00852CE9">
            <w:pPr>
              <w:spacing w:line="240" w:lineRule="auto"/>
              <w:jc w:val="right"/>
              <w:rPr>
                <w:rFonts w:ascii="Times New Roman" w:hAnsi="Times New Roman"/>
                <w:color w:val="000000"/>
                <w:sz w:val="18"/>
                <w:szCs w:val="16"/>
              </w:rPr>
            </w:pPr>
            <w:r w:rsidRPr="00102994">
              <w:rPr>
                <w:rFonts w:ascii="Times New Roman" w:hAnsi="Times New Roman"/>
                <w:color w:val="000000"/>
                <w:sz w:val="18"/>
                <w:szCs w:val="16"/>
              </w:rPr>
              <w:t>202 943 236</w:t>
            </w:r>
          </w:p>
        </w:tc>
        <w:tc>
          <w:tcPr>
            <w:tcW w:w="1707" w:type="dxa"/>
            <w:shd w:val="clear" w:color="auto" w:fill="auto"/>
            <w:noWrap/>
          </w:tcPr>
          <w:p w:rsidR="000F76BF" w:rsidRPr="00102994" w:rsidRDefault="000F76BF" w:rsidP="00852CE9">
            <w:pPr>
              <w:jc w:val="right"/>
              <w:rPr>
                <w:rFonts w:ascii="Times New Roman" w:hAnsi="Times New Roman"/>
                <w:i/>
                <w:iCs/>
                <w:color w:val="000000"/>
                <w:sz w:val="18"/>
                <w:szCs w:val="16"/>
              </w:rPr>
            </w:pPr>
            <w:r w:rsidRPr="00102994">
              <w:rPr>
                <w:rFonts w:ascii="Times New Roman" w:hAnsi="Times New Roman"/>
                <w:i/>
                <w:iCs/>
                <w:color w:val="000000"/>
                <w:sz w:val="18"/>
                <w:szCs w:val="16"/>
              </w:rPr>
              <w:t>-65 891 316</w:t>
            </w:r>
          </w:p>
        </w:tc>
        <w:tc>
          <w:tcPr>
            <w:tcW w:w="1494" w:type="dxa"/>
            <w:shd w:val="clear" w:color="auto" w:fill="auto"/>
          </w:tcPr>
          <w:p w:rsidR="000F76BF" w:rsidRPr="00102994" w:rsidRDefault="000F76BF" w:rsidP="00852CE9">
            <w:pPr>
              <w:jc w:val="right"/>
              <w:rPr>
                <w:rFonts w:ascii="Times New Roman" w:hAnsi="Times New Roman"/>
                <w:color w:val="000000"/>
                <w:sz w:val="18"/>
                <w:szCs w:val="16"/>
              </w:rPr>
            </w:pPr>
            <w:r w:rsidRPr="00102994">
              <w:rPr>
                <w:rFonts w:ascii="Times New Roman" w:hAnsi="Times New Roman"/>
                <w:color w:val="000000"/>
                <w:sz w:val="18"/>
                <w:szCs w:val="16"/>
              </w:rPr>
              <w:t>1 906</w:t>
            </w:r>
          </w:p>
        </w:tc>
      </w:tr>
      <w:tr w:rsidR="000F76BF" w:rsidRPr="00102994" w:rsidTr="001D6CAD">
        <w:trPr>
          <w:trHeight w:val="419"/>
          <w:jc w:val="center"/>
        </w:trPr>
        <w:tc>
          <w:tcPr>
            <w:tcW w:w="619" w:type="dxa"/>
            <w:shd w:val="clear" w:color="auto" w:fill="auto"/>
            <w:vAlign w:val="center"/>
            <w:hideMark/>
          </w:tcPr>
          <w:p w:rsidR="000F76BF" w:rsidRPr="00D82A04" w:rsidRDefault="000F76BF" w:rsidP="00E1562A">
            <w:pPr>
              <w:spacing w:after="0" w:line="240" w:lineRule="auto"/>
              <w:jc w:val="center"/>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3.</w:t>
            </w:r>
          </w:p>
        </w:tc>
        <w:tc>
          <w:tcPr>
            <w:tcW w:w="4165" w:type="dxa"/>
            <w:shd w:val="clear" w:color="auto" w:fill="auto"/>
            <w:vAlign w:val="center"/>
            <w:hideMark/>
          </w:tcPr>
          <w:p w:rsidR="000F76BF" w:rsidRPr="005509DC" w:rsidRDefault="000F76BF" w:rsidP="00E1562A">
            <w:pPr>
              <w:spacing w:after="0" w:line="240" w:lineRule="auto"/>
              <w:rPr>
                <w:rFonts w:ascii="Times New Roman" w:eastAsia="Times New Roman" w:hAnsi="Times New Roman"/>
                <w:sz w:val="18"/>
                <w:szCs w:val="18"/>
                <w:lang w:val="en-US" w:eastAsia="ru-RU"/>
              </w:rPr>
            </w:pPr>
            <w:r w:rsidRPr="005509DC">
              <w:rPr>
                <w:rFonts w:ascii="Times New Roman" w:eastAsia="Times New Roman" w:hAnsi="Times New Roman"/>
                <w:sz w:val="18"/>
                <w:szCs w:val="18"/>
                <w:lang w:val="en-US" w:eastAsia="ru-RU"/>
              </w:rPr>
              <w:t>Current and card accounts’ balances, including:</w:t>
            </w:r>
          </w:p>
        </w:tc>
        <w:tc>
          <w:tcPr>
            <w:tcW w:w="1512" w:type="dxa"/>
            <w:shd w:val="clear" w:color="auto" w:fill="auto"/>
          </w:tcPr>
          <w:p w:rsidR="000F76BF" w:rsidRPr="00102994" w:rsidRDefault="000F76BF" w:rsidP="00852CE9">
            <w:pPr>
              <w:spacing w:line="240" w:lineRule="auto"/>
              <w:jc w:val="right"/>
              <w:rPr>
                <w:rFonts w:ascii="Times New Roman" w:hAnsi="Times New Roman"/>
                <w:bCs/>
                <w:color w:val="000000"/>
                <w:sz w:val="18"/>
                <w:szCs w:val="16"/>
              </w:rPr>
            </w:pPr>
            <w:r w:rsidRPr="00102994">
              <w:rPr>
                <w:rFonts w:ascii="Times New Roman" w:hAnsi="Times New Roman"/>
                <w:bCs/>
                <w:color w:val="000000"/>
                <w:sz w:val="18"/>
                <w:szCs w:val="16"/>
              </w:rPr>
              <w:t>438 341 652</w:t>
            </w:r>
          </w:p>
        </w:tc>
        <w:tc>
          <w:tcPr>
            <w:tcW w:w="1707" w:type="dxa"/>
            <w:shd w:val="clear" w:color="auto" w:fill="auto"/>
            <w:noWrap/>
          </w:tcPr>
          <w:p w:rsidR="000F76BF" w:rsidRPr="00102994" w:rsidRDefault="000F76BF" w:rsidP="00852CE9">
            <w:pPr>
              <w:jc w:val="right"/>
              <w:rPr>
                <w:rFonts w:ascii="Times New Roman" w:hAnsi="Times New Roman"/>
                <w:bCs/>
                <w:i/>
                <w:iCs/>
                <w:color w:val="000000"/>
                <w:sz w:val="18"/>
                <w:szCs w:val="16"/>
              </w:rPr>
            </w:pPr>
            <w:r w:rsidRPr="00102994">
              <w:rPr>
                <w:rFonts w:ascii="Times New Roman" w:hAnsi="Times New Roman"/>
                <w:bCs/>
                <w:i/>
                <w:iCs/>
                <w:color w:val="000000"/>
                <w:sz w:val="18"/>
                <w:szCs w:val="16"/>
              </w:rPr>
              <w:t>-21 055 780</w:t>
            </w:r>
          </w:p>
        </w:tc>
        <w:tc>
          <w:tcPr>
            <w:tcW w:w="1494" w:type="dxa"/>
            <w:shd w:val="clear" w:color="auto" w:fill="auto"/>
          </w:tcPr>
          <w:p w:rsidR="000F76BF" w:rsidRPr="00102994" w:rsidRDefault="000F76BF" w:rsidP="00852CE9">
            <w:pPr>
              <w:jc w:val="right"/>
              <w:rPr>
                <w:rFonts w:ascii="Times New Roman" w:hAnsi="Times New Roman"/>
                <w:bCs/>
                <w:color w:val="000000"/>
                <w:sz w:val="18"/>
                <w:szCs w:val="16"/>
              </w:rPr>
            </w:pPr>
            <w:r w:rsidRPr="00102994">
              <w:rPr>
                <w:rFonts w:ascii="Times New Roman" w:hAnsi="Times New Roman"/>
                <w:bCs/>
                <w:color w:val="000000"/>
                <w:sz w:val="18"/>
                <w:szCs w:val="16"/>
              </w:rPr>
              <w:t>18 903 667</w:t>
            </w:r>
          </w:p>
        </w:tc>
      </w:tr>
      <w:tr w:rsidR="000F76BF" w:rsidRPr="00102994" w:rsidTr="001D6CAD">
        <w:trPr>
          <w:trHeight w:val="107"/>
          <w:jc w:val="center"/>
        </w:trPr>
        <w:tc>
          <w:tcPr>
            <w:tcW w:w="619" w:type="dxa"/>
            <w:shd w:val="clear" w:color="auto" w:fill="auto"/>
            <w:vAlign w:val="center"/>
            <w:hideMark/>
          </w:tcPr>
          <w:p w:rsidR="000F76BF" w:rsidRPr="00D82A04" w:rsidRDefault="000F76BF" w:rsidP="00E1562A">
            <w:pPr>
              <w:spacing w:after="0" w:line="240" w:lineRule="auto"/>
              <w:jc w:val="center"/>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3.1.</w:t>
            </w:r>
          </w:p>
        </w:tc>
        <w:tc>
          <w:tcPr>
            <w:tcW w:w="4165" w:type="dxa"/>
            <w:shd w:val="clear" w:color="auto" w:fill="auto"/>
            <w:vAlign w:val="center"/>
            <w:hideMark/>
          </w:tcPr>
          <w:p w:rsidR="000F76BF" w:rsidRPr="000D61A5" w:rsidRDefault="000F76BF" w:rsidP="00E1562A">
            <w:pPr>
              <w:spacing w:after="0" w:line="240" w:lineRule="auto"/>
              <w:rPr>
                <w:rFonts w:ascii="Times New Roman" w:hAnsi="Times New Roman"/>
                <w:i/>
                <w:color w:val="000000"/>
                <w:sz w:val="18"/>
                <w:szCs w:val="20"/>
              </w:rPr>
            </w:pPr>
            <w:r w:rsidRPr="00A54A93">
              <w:rPr>
                <w:rFonts w:ascii="Times New Roman" w:hAnsi="Times New Roman"/>
                <w:i/>
                <w:color w:val="000000"/>
                <w:sz w:val="18"/>
                <w:szCs w:val="20"/>
                <w:lang w:val="en-US"/>
              </w:rPr>
              <w:t>in</w:t>
            </w:r>
            <w:r w:rsidRPr="000D61A5">
              <w:rPr>
                <w:rFonts w:ascii="Times New Roman" w:hAnsi="Times New Roman"/>
                <w:i/>
                <w:color w:val="000000"/>
                <w:sz w:val="18"/>
                <w:szCs w:val="20"/>
              </w:rPr>
              <w:t xml:space="preserve"> Tenge</w:t>
            </w:r>
          </w:p>
        </w:tc>
        <w:tc>
          <w:tcPr>
            <w:tcW w:w="1512" w:type="dxa"/>
            <w:shd w:val="clear" w:color="auto" w:fill="auto"/>
          </w:tcPr>
          <w:p w:rsidR="000F76BF" w:rsidRPr="00102994" w:rsidRDefault="000F76BF" w:rsidP="00852CE9">
            <w:pPr>
              <w:spacing w:line="240" w:lineRule="auto"/>
              <w:jc w:val="right"/>
              <w:rPr>
                <w:rFonts w:ascii="Times New Roman" w:hAnsi="Times New Roman"/>
                <w:color w:val="000000"/>
                <w:sz w:val="18"/>
                <w:szCs w:val="16"/>
              </w:rPr>
            </w:pPr>
            <w:r w:rsidRPr="00102994">
              <w:rPr>
                <w:rFonts w:ascii="Times New Roman" w:hAnsi="Times New Roman"/>
                <w:color w:val="000000"/>
                <w:sz w:val="18"/>
                <w:szCs w:val="16"/>
              </w:rPr>
              <w:t>316 076 582</w:t>
            </w:r>
          </w:p>
        </w:tc>
        <w:tc>
          <w:tcPr>
            <w:tcW w:w="1707" w:type="dxa"/>
            <w:shd w:val="clear" w:color="auto" w:fill="auto"/>
            <w:noWrap/>
          </w:tcPr>
          <w:p w:rsidR="000F76BF" w:rsidRPr="00102994" w:rsidRDefault="000F76BF" w:rsidP="00852CE9">
            <w:pPr>
              <w:jc w:val="right"/>
              <w:rPr>
                <w:rFonts w:ascii="Times New Roman" w:hAnsi="Times New Roman"/>
                <w:i/>
                <w:iCs/>
                <w:color w:val="000000"/>
                <w:sz w:val="18"/>
                <w:szCs w:val="16"/>
              </w:rPr>
            </w:pPr>
            <w:r w:rsidRPr="00102994">
              <w:rPr>
                <w:rFonts w:ascii="Times New Roman" w:hAnsi="Times New Roman"/>
                <w:i/>
                <w:iCs/>
                <w:color w:val="000000"/>
                <w:sz w:val="18"/>
                <w:szCs w:val="16"/>
              </w:rPr>
              <w:t>-49 466 702</w:t>
            </w:r>
          </w:p>
        </w:tc>
        <w:tc>
          <w:tcPr>
            <w:tcW w:w="1494" w:type="dxa"/>
            <w:shd w:val="clear" w:color="auto" w:fill="auto"/>
          </w:tcPr>
          <w:p w:rsidR="000F76BF" w:rsidRPr="00102994" w:rsidRDefault="000F76BF" w:rsidP="00852CE9">
            <w:pPr>
              <w:jc w:val="right"/>
              <w:rPr>
                <w:rFonts w:ascii="Times New Roman" w:hAnsi="Times New Roman"/>
                <w:color w:val="000000"/>
                <w:sz w:val="18"/>
                <w:szCs w:val="16"/>
              </w:rPr>
            </w:pPr>
            <w:r w:rsidRPr="00102994">
              <w:rPr>
                <w:rFonts w:ascii="Times New Roman" w:hAnsi="Times New Roman"/>
                <w:color w:val="000000"/>
                <w:sz w:val="18"/>
                <w:szCs w:val="16"/>
              </w:rPr>
              <w:t>18 162 112</w:t>
            </w:r>
          </w:p>
        </w:tc>
      </w:tr>
      <w:tr w:rsidR="000F76BF" w:rsidRPr="00102994" w:rsidTr="001D6CAD">
        <w:trPr>
          <w:trHeight w:val="226"/>
          <w:jc w:val="center"/>
        </w:trPr>
        <w:tc>
          <w:tcPr>
            <w:tcW w:w="619" w:type="dxa"/>
            <w:shd w:val="clear" w:color="auto" w:fill="auto"/>
            <w:vAlign w:val="center"/>
            <w:hideMark/>
          </w:tcPr>
          <w:p w:rsidR="000F76BF" w:rsidRPr="00D82A04" w:rsidRDefault="000F76BF" w:rsidP="00E1562A">
            <w:pPr>
              <w:spacing w:after="0" w:line="240" w:lineRule="auto"/>
              <w:jc w:val="center"/>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3.2.</w:t>
            </w:r>
          </w:p>
        </w:tc>
        <w:tc>
          <w:tcPr>
            <w:tcW w:w="4165" w:type="dxa"/>
            <w:shd w:val="clear" w:color="auto" w:fill="auto"/>
            <w:vAlign w:val="center"/>
            <w:hideMark/>
          </w:tcPr>
          <w:p w:rsidR="000F76BF" w:rsidRPr="000D61A5" w:rsidRDefault="000F76BF" w:rsidP="00E1562A">
            <w:pPr>
              <w:spacing w:after="0" w:line="240" w:lineRule="auto"/>
              <w:rPr>
                <w:rFonts w:ascii="Times New Roman" w:hAnsi="Times New Roman"/>
                <w:i/>
                <w:color w:val="000000"/>
                <w:sz w:val="18"/>
                <w:szCs w:val="20"/>
                <w:lang w:val="en-US"/>
              </w:rPr>
            </w:pPr>
            <w:r w:rsidRPr="000D61A5">
              <w:rPr>
                <w:rFonts w:ascii="Times New Roman" w:hAnsi="Times New Roman"/>
                <w:i/>
                <w:color w:val="000000"/>
                <w:sz w:val="18"/>
                <w:szCs w:val="20"/>
                <w:lang w:val="en-US"/>
              </w:rPr>
              <w:t>in foreign currencies</w:t>
            </w:r>
          </w:p>
        </w:tc>
        <w:tc>
          <w:tcPr>
            <w:tcW w:w="1512" w:type="dxa"/>
            <w:shd w:val="clear" w:color="auto" w:fill="auto"/>
          </w:tcPr>
          <w:p w:rsidR="000F76BF" w:rsidRPr="00102994" w:rsidRDefault="000F76BF" w:rsidP="00852CE9">
            <w:pPr>
              <w:spacing w:line="240" w:lineRule="auto"/>
              <w:jc w:val="right"/>
              <w:rPr>
                <w:rFonts w:ascii="Times New Roman" w:hAnsi="Times New Roman"/>
                <w:color w:val="000000"/>
                <w:sz w:val="18"/>
                <w:szCs w:val="16"/>
              </w:rPr>
            </w:pPr>
            <w:r w:rsidRPr="00102994">
              <w:rPr>
                <w:rFonts w:ascii="Times New Roman" w:hAnsi="Times New Roman"/>
                <w:color w:val="000000"/>
                <w:sz w:val="18"/>
                <w:szCs w:val="16"/>
              </w:rPr>
              <w:t>122 265 070</w:t>
            </w:r>
          </w:p>
        </w:tc>
        <w:tc>
          <w:tcPr>
            <w:tcW w:w="1707" w:type="dxa"/>
            <w:shd w:val="clear" w:color="auto" w:fill="auto"/>
            <w:noWrap/>
          </w:tcPr>
          <w:p w:rsidR="000F76BF" w:rsidRPr="00102994" w:rsidRDefault="000F76BF" w:rsidP="00852CE9">
            <w:pPr>
              <w:jc w:val="right"/>
              <w:rPr>
                <w:rFonts w:ascii="Times New Roman" w:hAnsi="Times New Roman"/>
                <w:i/>
                <w:iCs/>
                <w:color w:val="000000"/>
                <w:sz w:val="18"/>
                <w:szCs w:val="16"/>
              </w:rPr>
            </w:pPr>
            <w:r w:rsidRPr="00102994">
              <w:rPr>
                <w:rFonts w:ascii="Times New Roman" w:hAnsi="Times New Roman"/>
                <w:i/>
                <w:iCs/>
                <w:color w:val="000000"/>
                <w:sz w:val="18"/>
                <w:szCs w:val="16"/>
              </w:rPr>
              <w:t>28 410 922</w:t>
            </w:r>
          </w:p>
        </w:tc>
        <w:tc>
          <w:tcPr>
            <w:tcW w:w="1494" w:type="dxa"/>
            <w:shd w:val="clear" w:color="auto" w:fill="auto"/>
          </w:tcPr>
          <w:p w:rsidR="000F76BF" w:rsidRPr="00102994" w:rsidRDefault="000F76BF" w:rsidP="00852CE9">
            <w:pPr>
              <w:jc w:val="right"/>
              <w:rPr>
                <w:rFonts w:ascii="Times New Roman" w:hAnsi="Times New Roman"/>
                <w:color w:val="000000"/>
                <w:sz w:val="18"/>
                <w:szCs w:val="16"/>
              </w:rPr>
            </w:pPr>
            <w:r w:rsidRPr="00102994">
              <w:rPr>
                <w:rFonts w:ascii="Times New Roman" w:hAnsi="Times New Roman"/>
                <w:color w:val="000000"/>
                <w:sz w:val="18"/>
                <w:szCs w:val="16"/>
              </w:rPr>
              <w:t>741 555</w:t>
            </w:r>
          </w:p>
        </w:tc>
      </w:tr>
      <w:tr w:rsidR="000F76BF" w:rsidRPr="00102994" w:rsidTr="001D6CAD">
        <w:trPr>
          <w:trHeight w:val="621"/>
          <w:jc w:val="center"/>
        </w:trPr>
        <w:tc>
          <w:tcPr>
            <w:tcW w:w="619" w:type="dxa"/>
            <w:shd w:val="clear" w:color="auto" w:fill="auto"/>
            <w:vAlign w:val="center"/>
            <w:hideMark/>
          </w:tcPr>
          <w:p w:rsidR="000F76BF" w:rsidRPr="00D82A04" w:rsidRDefault="000F76BF" w:rsidP="00E1562A">
            <w:pPr>
              <w:spacing w:after="0" w:line="240" w:lineRule="auto"/>
              <w:jc w:val="center"/>
              <w:rPr>
                <w:rFonts w:ascii="Times New Roman" w:eastAsia="Times New Roman" w:hAnsi="Times New Roman"/>
                <w:sz w:val="18"/>
                <w:szCs w:val="18"/>
                <w:lang w:eastAsia="ru-RU"/>
              </w:rPr>
            </w:pPr>
            <w:r w:rsidRPr="00D82A04">
              <w:rPr>
                <w:rFonts w:ascii="Times New Roman" w:eastAsia="Times New Roman" w:hAnsi="Times New Roman"/>
                <w:sz w:val="18"/>
                <w:szCs w:val="18"/>
                <w:lang w:eastAsia="ru-RU"/>
              </w:rPr>
              <w:t> </w:t>
            </w:r>
          </w:p>
        </w:tc>
        <w:tc>
          <w:tcPr>
            <w:tcW w:w="4165" w:type="dxa"/>
            <w:shd w:val="clear" w:color="auto" w:fill="auto"/>
            <w:vAlign w:val="center"/>
            <w:hideMark/>
          </w:tcPr>
          <w:p w:rsidR="000F76BF" w:rsidRPr="00A54A93" w:rsidRDefault="000F76BF" w:rsidP="00E1562A">
            <w:pPr>
              <w:spacing w:after="0" w:line="240" w:lineRule="auto"/>
              <w:rPr>
                <w:rFonts w:ascii="Times New Roman" w:eastAsia="Times New Roman" w:hAnsi="Times New Roman"/>
                <w:sz w:val="18"/>
                <w:szCs w:val="18"/>
                <w:lang w:val="en-US" w:eastAsia="ru-RU"/>
              </w:rPr>
            </w:pPr>
            <w:r w:rsidRPr="00A54A93">
              <w:rPr>
                <w:rFonts w:ascii="Times New Roman" w:eastAsia="Times New Roman" w:hAnsi="Times New Roman"/>
                <w:sz w:val="18"/>
                <w:szCs w:val="18"/>
                <w:lang w:val="en-US" w:eastAsia="ru-RU"/>
              </w:rPr>
              <w:t>Current and card accounts’ balances</w:t>
            </w:r>
            <w:r>
              <w:rPr>
                <w:rFonts w:ascii="Times New Roman" w:eastAsia="Times New Roman" w:hAnsi="Times New Roman"/>
                <w:sz w:val="18"/>
                <w:szCs w:val="18"/>
                <w:lang w:val="en-US" w:eastAsia="ru-RU"/>
              </w:rPr>
              <w:t xml:space="preserve"> </w:t>
            </w:r>
            <w:r w:rsidRPr="005509DC">
              <w:rPr>
                <w:rFonts w:ascii="Times New Roman" w:eastAsia="Times New Roman" w:hAnsi="Times New Roman"/>
                <w:sz w:val="18"/>
                <w:szCs w:val="18"/>
                <w:lang w:val="en-US" w:eastAsia="ru-RU"/>
              </w:rPr>
              <w:t>of the member-banks’ top-management, as well as their shareholders holding in total five or more per cent of the banks’ voting shares, and their close relatives</w:t>
            </w:r>
          </w:p>
        </w:tc>
        <w:tc>
          <w:tcPr>
            <w:tcW w:w="1512" w:type="dxa"/>
            <w:shd w:val="clear" w:color="auto" w:fill="auto"/>
          </w:tcPr>
          <w:p w:rsidR="000F76BF" w:rsidRPr="00102994" w:rsidRDefault="000F76BF" w:rsidP="00852CE9">
            <w:pPr>
              <w:spacing w:line="240" w:lineRule="auto"/>
              <w:jc w:val="right"/>
              <w:rPr>
                <w:rFonts w:ascii="Times New Roman" w:hAnsi="Times New Roman"/>
                <w:color w:val="000000"/>
                <w:sz w:val="18"/>
                <w:szCs w:val="16"/>
              </w:rPr>
            </w:pPr>
            <w:r w:rsidRPr="00102994">
              <w:rPr>
                <w:rFonts w:ascii="Times New Roman" w:hAnsi="Times New Roman"/>
                <w:color w:val="000000"/>
                <w:sz w:val="18"/>
                <w:szCs w:val="16"/>
              </w:rPr>
              <w:t>2 775 401</w:t>
            </w:r>
          </w:p>
        </w:tc>
        <w:tc>
          <w:tcPr>
            <w:tcW w:w="1707" w:type="dxa"/>
            <w:shd w:val="clear" w:color="auto" w:fill="auto"/>
            <w:noWrap/>
          </w:tcPr>
          <w:p w:rsidR="000F76BF" w:rsidRPr="00102994" w:rsidRDefault="000F76BF" w:rsidP="00852CE9">
            <w:pPr>
              <w:jc w:val="right"/>
              <w:rPr>
                <w:rFonts w:ascii="Times New Roman" w:hAnsi="Times New Roman"/>
                <w:i/>
                <w:iCs/>
                <w:color w:val="000000"/>
                <w:sz w:val="18"/>
                <w:szCs w:val="16"/>
              </w:rPr>
            </w:pPr>
            <w:r w:rsidRPr="00102994">
              <w:rPr>
                <w:rFonts w:ascii="Times New Roman" w:hAnsi="Times New Roman"/>
                <w:i/>
                <w:iCs/>
                <w:color w:val="000000"/>
                <w:sz w:val="18"/>
                <w:szCs w:val="16"/>
              </w:rPr>
              <w:t>-1 219 113</w:t>
            </w:r>
          </w:p>
        </w:tc>
        <w:tc>
          <w:tcPr>
            <w:tcW w:w="1494" w:type="dxa"/>
            <w:shd w:val="clear" w:color="auto" w:fill="auto"/>
          </w:tcPr>
          <w:p w:rsidR="000F76BF" w:rsidRPr="00102994" w:rsidRDefault="000F76BF" w:rsidP="00852CE9">
            <w:pPr>
              <w:jc w:val="right"/>
              <w:rPr>
                <w:rFonts w:ascii="Times New Roman" w:hAnsi="Times New Roman"/>
                <w:color w:val="000000"/>
                <w:sz w:val="18"/>
                <w:szCs w:val="16"/>
              </w:rPr>
            </w:pPr>
            <w:r w:rsidRPr="00102994">
              <w:rPr>
                <w:rFonts w:ascii="Times New Roman" w:hAnsi="Times New Roman"/>
                <w:color w:val="000000"/>
                <w:sz w:val="18"/>
                <w:szCs w:val="16"/>
              </w:rPr>
              <w:t>37 790</w:t>
            </w:r>
          </w:p>
        </w:tc>
      </w:tr>
    </w:tbl>
    <w:p w:rsidR="00DF5235" w:rsidRDefault="00DF5235" w:rsidP="003C32E9"/>
    <w:sectPr w:rsidR="00DF5235" w:rsidSect="00B855A5">
      <w:headerReference w:type="default" r:id="rId12"/>
      <w:footerReference w:type="default" r:id="rId13"/>
      <w:pgSz w:w="11906" w:h="16838"/>
      <w:pgMar w:top="672" w:right="851" w:bottom="426" w:left="1134" w:header="426"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78F" w:rsidRDefault="0067378F" w:rsidP="001B1FD7">
      <w:pPr>
        <w:spacing w:after="0" w:line="240" w:lineRule="auto"/>
      </w:pPr>
      <w:r>
        <w:separator/>
      </w:r>
    </w:p>
  </w:endnote>
  <w:endnote w:type="continuationSeparator" w:id="0">
    <w:p w:rsidR="0067378F" w:rsidRDefault="0067378F" w:rsidP="001B1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5CF" w:rsidRPr="00B665CF" w:rsidRDefault="001B1FD7">
    <w:pPr>
      <w:ind w:right="260"/>
      <w:rPr>
        <w:color w:val="0F243E"/>
        <w:sz w:val="26"/>
        <w:szCs w:val="26"/>
      </w:rPr>
    </w:pPr>
    <w:r>
      <w:rPr>
        <w:noProof/>
        <w:lang w:eastAsia="ru-RU"/>
      </w:rPr>
      <mc:AlternateContent>
        <mc:Choice Requires="wps">
          <w:drawing>
            <wp:anchor distT="0" distB="0" distL="114300" distR="114300" simplePos="0" relativeHeight="251660288" behindDoc="0" locked="0" layoutInCell="1" allowOverlap="1" wp14:anchorId="6C295878" wp14:editId="0933D2E8">
              <wp:simplePos x="0" y="0"/>
              <wp:positionH relativeFrom="page">
                <wp:posOffset>7024370</wp:posOffset>
              </wp:positionH>
              <wp:positionV relativeFrom="page">
                <wp:posOffset>10202545</wp:posOffset>
              </wp:positionV>
              <wp:extent cx="373380" cy="259080"/>
              <wp:effectExtent l="0" t="0" r="0" b="254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590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665CF" w:rsidRPr="005D10BA" w:rsidRDefault="001C5403">
                          <w:pPr>
                            <w:spacing w:after="0"/>
                            <w:jc w:val="center"/>
                            <w:rPr>
                              <w:rFonts w:ascii="Times New Roman" w:hAnsi="Times New Roman"/>
                              <w:color w:val="0F243E"/>
                              <w:sz w:val="20"/>
                              <w:szCs w:val="26"/>
                            </w:rPr>
                          </w:pPr>
                          <w:r w:rsidRPr="005D10BA">
                            <w:rPr>
                              <w:rFonts w:ascii="Times New Roman" w:hAnsi="Times New Roman"/>
                              <w:color w:val="0F243E"/>
                              <w:sz w:val="20"/>
                              <w:szCs w:val="26"/>
                            </w:rPr>
                            <w:fldChar w:fldCharType="begin"/>
                          </w:r>
                          <w:r w:rsidRPr="005D10BA">
                            <w:rPr>
                              <w:rFonts w:ascii="Times New Roman" w:hAnsi="Times New Roman"/>
                              <w:color w:val="0F243E"/>
                              <w:sz w:val="20"/>
                              <w:szCs w:val="26"/>
                            </w:rPr>
                            <w:instrText>PAGE  \* Arabic  \* MERGEFORMAT</w:instrText>
                          </w:r>
                          <w:r w:rsidRPr="005D10BA">
                            <w:rPr>
                              <w:rFonts w:ascii="Times New Roman" w:hAnsi="Times New Roman"/>
                              <w:color w:val="0F243E"/>
                              <w:sz w:val="20"/>
                              <w:szCs w:val="26"/>
                            </w:rPr>
                            <w:fldChar w:fldCharType="separate"/>
                          </w:r>
                          <w:r w:rsidR="00164F1C">
                            <w:rPr>
                              <w:rFonts w:ascii="Times New Roman" w:hAnsi="Times New Roman"/>
                              <w:noProof/>
                              <w:color w:val="0F243E"/>
                              <w:sz w:val="20"/>
                              <w:szCs w:val="26"/>
                            </w:rPr>
                            <w:t>2</w:t>
                          </w:r>
                          <w:r w:rsidRPr="005D10BA">
                            <w:rPr>
                              <w:rFonts w:ascii="Times New Roman" w:hAnsi="Times New Roman"/>
                              <w:color w:val="0F243E"/>
                              <w:sz w:val="20"/>
                              <w:szCs w:val="26"/>
                            </w:rPr>
                            <w:fldChar w:fldCharType="end"/>
                          </w:r>
                        </w:p>
                      </w:txbxContent>
                    </wps:txbx>
                    <wps:bodyPr rot="0" vert="horz" wrap="square" lIns="0" tIns="45720" rIns="0" bIns="45720" anchor="ctr" anchorCtr="0" upright="1">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Поле 16" o:spid="_x0000_s1026" type="#_x0000_t202" style="position:absolute;margin-left:553.1pt;margin-top:803.35pt;width:29.4pt;height:20.4pt;z-index:251660288;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" stroked="f" strokeweight=".5pt">
              <v:textbox style="mso-fit-shape-to-text:t" inset="0,,0">
                <w:txbxContent>
                  <w:p w:rsidR="00B665CF" w:rsidRPr="005D10BA" w:rsidRDefault="001C5403">
                    <w:pPr>
                      <w:spacing w:after="0"/>
                      <w:jc w:val="center"/>
                      <w:rPr>
                        <w:rFonts w:ascii="Times New Roman" w:hAnsi="Times New Roman"/>
                        <w:color w:val="0F243E"/>
                        <w:sz w:val="20"/>
                        <w:szCs w:val="26"/>
                      </w:rPr>
                    </w:pPr>
                    <w:r w:rsidRPr="005D10BA">
                      <w:rPr>
                        <w:rFonts w:ascii="Times New Roman" w:hAnsi="Times New Roman"/>
                        <w:color w:val="0F243E"/>
                        <w:sz w:val="20"/>
                        <w:szCs w:val="26"/>
                      </w:rPr>
                      <w:fldChar w:fldCharType="begin"/>
                    </w:r>
                    <w:r w:rsidRPr="005D10BA">
                      <w:rPr>
                        <w:rFonts w:ascii="Times New Roman" w:hAnsi="Times New Roman"/>
                        <w:color w:val="0F243E"/>
                        <w:sz w:val="20"/>
                        <w:szCs w:val="26"/>
                      </w:rPr>
                      <w:instrText>PAGE  \* Arabic  \* MERGEFORMAT</w:instrText>
                    </w:r>
                    <w:r w:rsidRPr="005D10BA">
                      <w:rPr>
                        <w:rFonts w:ascii="Times New Roman" w:hAnsi="Times New Roman"/>
                        <w:color w:val="0F243E"/>
                        <w:sz w:val="20"/>
                        <w:szCs w:val="26"/>
                      </w:rPr>
                      <w:fldChar w:fldCharType="separate"/>
                    </w:r>
                    <w:r w:rsidR="00164F1C">
                      <w:rPr>
                        <w:rFonts w:ascii="Times New Roman" w:hAnsi="Times New Roman"/>
                        <w:noProof/>
                        <w:color w:val="0F243E"/>
                        <w:sz w:val="20"/>
                        <w:szCs w:val="26"/>
                      </w:rPr>
                      <w:t>2</w:t>
                    </w:r>
                    <w:r w:rsidRPr="005D10BA">
                      <w:rPr>
                        <w:rFonts w:ascii="Times New Roman" w:hAnsi="Times New Roman"/>
                        <w:color w:val="0F243E"/>
                        <w:sz w:val="20"/>
                        <w:szCs w:val="26"/>
                      </w:rPr>
                      <w:fldChar w:fldCharType="end"/>
                    </w:r>
                  </w:p>
                </w:txbxContent>
              </v:textbox>
              <w10:wrap anchorx="page" anchory="page"/>
            </v:shape>
          </w:pict>
        </mc:Fallback>
      </mc:AlternateContent>
    </w:r>
  </w:p>
  <w:p w:rsidR="00B665CF" w:rsidRDefault="0067378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78F" w:rsidRDefault="0067378F" w:rsidP="001B1FD7">
      <w:pPr>
        <w:spacing w:after="0" w:line="240" w:lineRule="auto"/>
      </w:pPr>
      <w:r>
        <w:separator/>
      </w:r>
    </w:p>
  </w:footnote>
  <w:footnote w:type="continuationSeparator" w:id="0">
    <w:p w:rsidR="0067378F" w:rsidRDefault="0067378F" w:rsidP="001B1FD7">
      <w:pPr>
        <w:spacing w:after="0" w:line="240" w:lineRule="auto"/>
      </w:pPr>
      <w:r>
        <w:continuationSeparator/>
      </w:r>
    </w:p>
  </w:footnote>
  <w:footnote w:id="1">
    <w:p w:rsidR="00E827CC" w:rsidRPr="00BE2B72" w:rsidRDefault="00E827CC" w:rsidP="00164F1C">
      <w:pPr>
        <w:pStyle w:val="a5"/>
        <w:jc w:val="both"/>
        <w:rPr>
          <w:i/>
          <w:sz w:val="16"/>
          <w:lang w:val="en-US"/>
        </w:rPr>
      </w:pPr>
      <w:r w:rsidRPr="00E827CC">
        <w:rPr>
          <w:rStyle w:val="a7"/>
          <w:i/>
          <w:sz w:val="16"/>
        </w:rPr>
        <w:footnoteRef/>
      </w:r>
      <w:r w:rsidRPr="00E827CC">
        <w:rPr>
          <w:i/>
          <w:sz w:val="16"/>
        </w:rPr>
        <w:t xml:space="preserve"> </w:t>
      </w:r>
      <w:proofErr w:type="gramStart"/>
      <w:r w:rsidRPr="00E827CC">
        <w:rPr>
          <w:i/>
          <w:sz w:val="16"/>
          <w:lang w:val="en-US"/>
        </w:rPr>
        <w:t>in</w:t>
      </w:r>
      <w:proofErr w:type="gramEnd"/>
      <w:r w:rsidRPr="00E827CC">
        <w:rPr>
          <w:i/>
          <w:sz w:val="16"/>
        </w:rPr>
        <w:t xml:space="preserve"> </w:t>
      </w:r>
      <w:r w:rsidRPr="00E827CC">
        <w:rPr>
          <w:i/>
          <w:sz w:val="16"/>
          <w:lang w:val="en-US"/>
        </w:rPr>
        <w:t>Kazakh</w:t>
      </w:r>
      <w:r w:rsidRPr="00E827CC">
        <w:rPr>
          <w:i/>
          <w:sz w:val="16"/>
        </w:rPr>
        <w:t xml:space="preserve"> </w:t>
      </w:r>
      <w:r w:rsidRPr="00E827CC">
        <w:rPr>
          <w:i/>
          <w:sz w:val="16"/>
          <w:lang w:val="en-US"/>
        </w:rPr>
        <w:t>language</w:t>
      </w:r>
      <w:r w:rsidRPr="00E827CC">
        <w:rPr>
          <w:i/>
          <w:sz w:val="16"/>
        </w:rPr>
        <w:t xml:space="preserve"> - </w:t>
      </w:r>
      <w:r w:rsidRPr="00E827CC">
        <w:rPr>
          <w:i/>
          <w:sz w:val="16"/>
          <w:lang w:val="en-US"/>
        </w:rPr>
        <w:t>banks</w:t>
      </w:r>
      <w:r w:rsidRPr="00E827CC">
        <w:rPr>
          <w:i/>
          <w:sz w:val="16"/>
        </w:rPr>
        <w:t xml:space="preserve">' </w:t>
      </w:r>
      <w:r w:rsidRPr="00E827CC">
        <w:rPr>
          <w:i/>
          <w:sz w:val="16"/>
          <w:lang w:val="en-US"/>
        </w:rPr>
        <w:t>analysis</w:t>
      </w:r>
      <w:r w:rsidR="00BE2B72">
        <w:rPr>
          <w:i/>
          <w:sz w:val="16"/>
          <w:lang w:val="en-US"/>
        </w:rPr>
        <w:t>.</w:t>
      </w:r>
    </w:p>
  </w:footnote>
  <w:footnote w:id="2">
    <w:p w:rsidR="001F5041" w:rsidRPr="001F5041" w:rsidRDefault="001F5041" w:rsidP="00164F1C">
      <w:pPr>
        <w:pStyle w:val="a5"/>
        <w:jc w:val="both"/>
        <w:rPr>
          <w:i/>
          <w:sz w:val="16"/>
          <w:szCs w:val="16"/>
          <w:lang w:val="en-US"/>
        </w:rPr>
      </w:pPr>
      <w:r w:rsidRPr="001F5041">
        <w:rPr>
          <w:rStyle w:val="a7"/>
          <w:i/>
          <w:sz w:val="16"/>
          <w:szCs w:val="16"/>
        </w:rPr>
        <w:footnoteRef/>
      </w:r>
      <w:r w:rsidRPr="001F5041">
        <w:rPr>
          <w:i/>
          <w:sz w:val="16"/>
          <w:szCs w:val="16"/>
        </w:rPr>
        <w:t xml:space="preserve"> </w:t>
      </w:r>
      <w:r>
        <w:rPr>
          <w:i/>
          <w:sz w:val="16"/>
          <w:szCs w:val="16"/>
          <w:lang w:val="en-US"/>
        </w:rPr>
        <w:t>DPS “BATA” was introduced by KDIF in 2007</w:t>
      </w:r>
      <w:r>
        <w:rPr>
          <w:lang w:val="en-US"/>
        </w:rPr>
        <w:t xml:space="preserve"> </w:t>
      </w:r>
      <w:r w:rsidRPr="001F5041">
        <w:rPr>
          <w:i/>
          <w:sz w:val="16"/>
          <w:szCs w:val="16"/>
          <w:lang w:val="en-US"/>
        </w:rPr>
        <w:t xml:space="preserve">to adequately assess the financial position and risk profile of the </w:t>
      </w:r>
      <w:r>
        <w:rPr>
          <w:i/>
          <w:sz w:val="16"/>
          <w:szCs w:val="16"/>
          <w:lang w:val="en-US"/>
        </w:rPr>
        <w:t xml:space="preserve">member-banks. DPS </w:t>
      </w:r>
      <w:r w:rsidRPr="001F5041">
        <w:rPr>
          <w:i/>
          <w:sz w:val="16"/>
          <w:szCs w:val="16"/>
          <w:lang w:val="en-US"/>
        </w:rPr>
        <w:t xml:space="preserve">"BATA" </w:t>
      </w:r>
      <w:r>
        <w:rPr>
          <w:i/>
          <w:sz w:val="16"/>
          <w:szCs w:val="16"/>
          <w:lang w:val="en-US"/>
        </w:rPr>
        <w:t xml:space="preserve">has </w:t>
      </w:r>
      <w:r w:rsidRPr="001F5041">
        <w:rPr>
          <w:i/>
          <w:sz w:val="16"/>
          <w:szCs w:val="16"/>
          <w:lang w:val="en-US"/>
        </w:rPr>
        <w:t xml:space="preserve">6 classification groups, each of which has its own </w:t>
      </w:r>
      <w:r>
        <w:rPr>
          <w:i/>
          <w:sz w:val="16"/>
          <w:szCs w:val="16"/>
          <w:lang w:val="en-US"/>
        </w:rPr>
        <w:t xml:space="preserve">premium </w:t>
      </w:r>
      <w:r w:rsidRPr="001F5041">
        <w:rPr>
          <w:i/>
          <w:sz w:val="16"/>
          <w:szCs w:val="16"/>
          <w:lang w:val="en-US"/>
        </w:rPr>
        <w:t>rate</w:t>
      </w:r>
      <w:r w:rsidR="00BE2B72">
        <w:rPr>
          <w:i/>
          <w:sz w:val="16"/>
          <w:szCs w:val="16"/>
          <w:lang w:val="en-US"/>
        </w:rPr>
        <w:t xml:space="preserve">. </w:t>
      </w:r>
      <w:proofErr w:type="gramStart"/>
      <w:r w:rsidR="00BE2B72">
        <w:rPr>
          <w:i/>
          <w:sz w:val="16"/>
          <w:szCs w:val="16"/>
          <w:lang w:val="en-US"/>
        </w:rPr>
        <w:t>T</w:t>
      </w:r>
      <w:r w:rsidRPr="001F5041">
        <w:rPr>
          <w:i/>
          <w:sz w:val="16"/>
          <w:szCs w:val="16"/>
          <w:lang w:val="en-US"/>
        </w:rPr>
        <w:t xml:space="preserve">he higher </w:t>
      </w:r>
      <w:r>
        <w:rPr>
          <w:i/>
          <w:sz w:val="16"/>
          <w:szCs w:val="16"/>
          <w:lang w:val="en-US"/>
        </w:rPr>
        <w:t xml:space="preserve">the </w:t>
      </w:r>
      <w:r w:rsidRPr="001F5041">
        <w:rPr>
          <w:i/>
          <w:sz w:val="16"/>
          <w:szCs w:val="16"/>
          <w:lang w:val="en-US"/>
        </w:rPr>
        <w:t xml:space="preserve">level of financial instability and risk of the </w:t>
      </w:r>
      <w:r>
        <w:rPr>
          <w:i/>
          <w:sz w:val="16"/>
          <w:szCs w:val="16"/>
          <w:lang w:val="en-US"/>
        </w:rPr>
        <w:t xml:space="preserve">member-bank, the higher </w:t>
      </w:r>
      <w:r w:rsidR="00BE2B72">
        <w:rPr>
          <w:i/>
          <w:sz w:val="16"/>
          <w:szCs w:val="16"/>
          <w:lang w:val="en-US"/>
        </w:rPr>
        <w:t xml:space="preserve">its </w:t>
      </w:r>
      <w:r>
        <w:rPr>
          <w:i/>
          <w:sz w:val="16"/>
          <w:szCs w:val="16"/>
          <w:lang w:val="en-US"/>
        </w:rPr>
        <w:t>premium rate</w:t>
      </w:r>
      <w:r w:rsidRPr="001F5041">
        <w:rPr>
          <w:i/>
          <w:sz w:val="16"/>
          <w:szCs w:val="16"/>
          <w:lang w:val="en-US"/>
        </w:rPr>
        <w:t>.</w:t>
      </w:r>
      <w:proofErr w:type="gramEnd"/>
      <w:r w:rsidRPr="001F5041">
        <w:rPr>
          <w:i/>
          <w:sz w:val="16"/>
          <w:szCs w:val="16"/>
          <w:lang w:val="en-US"/>
        </w:rPr>
        <w:t xml:space="preserve"> One of the main characteristics of this system is its transparency for the </w:t>
      </w:r>
      <w:r>
        <w:rPr>
          <w:i/>
          <w:sz w:val="16"/>
          <w:szCs w:val="16"/>
          <w:lang w:val="en-US"/>
        </w:rPr>
        <w:t>member-</w:t>
      </w:r>
      <w:r w:rsidRPr="001F5041">
        <w:rPr>
          <w:i/>
          <w:sz w:val="16"/>
          <w:szCs w:val="16"/>
          <w:lang w:val="en-US"/>
        </w:rPr>
        <w:t xml:space="preserve">banks and confidentiality </w:t>
      </w:r>
      <w:r>
        <w:rPr>
          <w:i/>
          <w:sz w:val="16"/>
          <w:szCs w:val="16"/>
          <w:lang w:val="en-US"/>
        </w:rPr>
        <w:t xml:space="preserve">of </w:t>
      </w:r>
      <w:r w:rsidR="00B777F5">
        <w:rPr>
          <w:i/>
          <w:sz w:val="16"/>
          <w:szCs w:val="16"/>
          <w:lang w:val="en-US"/>
        </w:rPr>
        <w:t xml:space="preserve">assigned </w:t>
      </w:r>
      <w:r w:rsidRPr="001F5041">
        <w:rPr>
          <w:i/>
          <w:sz w:val="16"/>
          <w:szCs w:val="16"/>
          <w:lang w:val="en-US"/>
        </w:rPr>
        <w:t>ratings.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6BF" w:rsidRPr="000F76BF" w:rsidRDefault="000F76BF" w:rsidP="000F76BF">
    <w:pPr>
      <w:tabs>
        <w:tab w:val="center" w:pos="4677"/>
        <w:tab w:val="right" w:pos="9355"/>
      </w:tabs>
      <w:spacing w:after="0" w:line="240" w:lineRule="auto"/>
      <w:ind w:left="709"/>
      <w:rPr>
        <w:rFonts w:ascii="Times New Roman" w:hAnsi="Times New Roman"/>
        <w:i/>
        <w:sz w:val="18"/>
        <w:szCs w:val="18"/>
        <w:lang w:val="en-US"/>
      </w:rPr>
    </w:pPr>
    <w:r w:rsidRPr="000F76BF">
      <w:rPr>
        <w:rFonts w:ascii="Times New Roman" w:hAnsi="Times New Roman"/>
        <w:noProof/>
        <w:sz w:val="20"/>
        <w:szCs w:val="20"/>
        <w:lang w:eastAsia="ru-RU"/>
      </w:rPr>
      <w:drawing>
        <wp:anchor distT="0" distB="0" distL="114300" distR="114300" simplePos="0" relativeHeight="251662336" behindDoc="0" locked="0" layoutInCell="1" allowOverlap="1" wp14:anchorId="47DE5826" wp14:editId="37E876FB">
          <wp:simplePos x="0" y="0"/>
          <wp:positionH relativeFrom="column">
            <wp:posOffset>-80010</wp:posOffset>
          </wp:positionH>
          <wp:positionV relativeFrom="paragraph">
            <wp:posOffset>-40005</wp:posOffset>
          </wp:positionV>
          <wp:extent cx="457200" cy="390525"/>
          <wp:effectExtent l="0" t="0" r="0" b="9525"/>
          <wp:wrapSquare wrapText="bothSides"/>
          <wp:docPr id="6" name="Рисунок 6" descr="C:\Documents and Settings\User\Мои документы\Mои рисунки\KDIF\KDIF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User\Мои документы\Mои рисунки\KDIF\KDIF3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76BF">
      <w:rPr>
        <w:rFonts w:ascii="Times New Roman" w:hAnsi="Times New Roman"/>
        <w:i/>
        <w:sz w:val="18"/>
        <w:szCs w:val="18"/>
        <w:lang w:val="en-US" w:eastAsia="x-none" w:bidi="sa-IN"/>
      </w:rPr>
      <w:t>K</w:t>
    </w:r>
    <w:r w:rsidRPr="000F76BF">
      <w:rPr>
        <w:rFonts w:ascii="Times New Roman" w:hAnsi="Times New Roman"/>
        <w:i/>
        <w:sz w:val="18"/>
        <w:szCs w:val="18"/>
        <w:lang w:val="en-US"/>
      </w:rPr>
      <w:t xml:space="preserve">azakhstan Deposit Insurance Fund </w:t>
    </w:r>
  </w:p>
  <w:p w:rsidR="000F76BF" w:rsidRPr="000F76BF" w:rsidRDefault="000F76BF" w:rsidP="000F76BF">
    <w:pPr>
      <w:tabs>
        <w:tab w:val="center" w:pos="4677"/>
        <w:tab w:val="right" w:pos="9355"/>
      </w:tabs>
      <w:spacing w:after="0" w:line="240" w:lineRule="auto"/>
      <w:ind w:firstLine="709"/>
      <w:rPr>
        <w:rFonts w:ascii="Times New Roman" w:hAnsi="Times New Roman"/>
        <w:i/>
        <w:sz w:val="18"/>
        <w:szCs w:val="18"/>
        <w:u w:val="single"/>
        <w:lang w:val="kk-KZ"/>
      </w:rPr>
    </w:pPr>
    <w:r w:rsidRPr="000F76BF">
      <w:rPr>
        <w:rFonts w:ascii="Times New Roman" w:hAnsi="Times New Roman"/>
        <w:i/>
        <w:sz w:val="18"/>
        <w:szCs w:val="18"/>
        <w:u w:val="single"/>
        <w:lang w:val="en-US"/>
      </w:rPr>
      <w:t>Overview of retail deposit market for the first quarter 2014</w:t>
    </w:r>
    <w:r>
      <w:rPr>
        <w:rFonts w:ascii="Times New Roman" w:hAnsi="Times New Roman"/>
        <w:i/>
        <w:sz w:val="18"/>
        <w:szCs w:val="18"/>
        <w:u w:val="single"/>
        <w:lang w:val="en-US"/>
      </w:rPr>
      <w:t>______________________________________________________</w:t>
    </w:r>
  </w:p>
  <w:p w:rsidR="00B86341" w:rsidRPr="000F76BF" w:rsidRDefault="0067378F" w:rsidP="009852E1">
    <w:pPr>
      <w:pStyle w:val="ab"/>
      <w:ind w:left="708"/>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E309A"/>
    <w:multiLevelType w:val="multilevel"/>
    <w:tmpl w:val="D3E4511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D860EF2"/>
    <w:multiLevelType w:val="hybridMultilevel"/>
    <w:tmpl w:val="303E289C"/>
    <w:lvl w:ilvl="0" w:tplc="48986D6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211DA0"/>
    <w:multiLevelType w:val="multilevel"/>
    <w:tmpl w:val="770096AC"/>
    <w:lvl w:ilvl="0">
      <w:start w:val="1"/>
      <w:numFmt w:val="decimal"/>
      <w:lvlText w:val="%1."/>
      <w:lvlJc w:val="left"/>
      <w:pPr>
        <w:tabs>
          <w:tab w:val="num" w:pos="720"/>
        </w:tabs>
        <w:ind w:left="720" w:hanging="360"/>
      </w:pPr>
      <w:rPr>
        <w:rFonts w:hint="default"/>
        <w:b/>
        <w:i/>
        <w:strike w:val="0"/>
        <w:shadow/>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59089F"/>
    <w:multiLevelType w:val="multilevel"/>
    <w:tmpl w:val="D2F002B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68D652A"/>
    <w:multiLevelType w:val="hybridMultilevel"/>
    <w:tmpl w:val="A732A7DE"/>
    <w:lvl w:ilvl="0" w:tplc="5AD89C68">
      <w:start w:val="1"/>
      <w:numFmt w:val="decimal"/>
      <w:lvlText w:val="%1."/>
      <w:lvlJc w:val="left"/>
      <w:pPr>
        <w:ind w:left="1069" w:hanging="360"/>
      </w:pPr>
      <w:rPr>
        <w:rFonts w:eastAsia="Calibri" w:hint="default"/>
        <w:b/>
        <w:i/>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08366DB"/>
    <w:multiLevelType w:val="hybridMultilevel"/>
    <w:tmpl w:val="F072C534"/>
    <w:lvl w:ilvl="0" w:tplc="4BEAE328">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0E065B4"/>
    <w:multiLevelType w:val="hybridMultilevel"/>
    <w:tmpl w:val="5948BC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CD15F0"/>
    <w:multiLevelType w:val="hybridMultilevel"/>
    <w:tmpl w:val="99C822B4"/>
    <w:lvl w:ilvl="0" w:tplc="1D36FF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C93A81"/>
    <w:multiLevelType w:val="hybridMultilevel"/>
    <w:tmpl w:val="1F22D6C8"/>
    <w:lvl w:ilvl="0" w:tplc="3F90FA04">
      <w:start w:val="1"/>
      <w:numFmt w:val="decimal"/>
      <w:lvlText w:val="(%1)"/>
      <w:lvlJc w:val="left"/>
      <w:pPr>
        <w:ind w:left="786" w:hanging="360"/>
      </w:pPr>
      <w:rPr>
        <w:rFonts w:hint="default"/>
      </w:rPr>
    </w:lvl>
    <w:lvl w:ilvl="1" w:tplc="04190019" w:tentative="1">
      <w:start w:val="1"/>
      <w:numFmt w:val="lowerLetter"/>
      <w:lvlText w:val="%2."/>
      <w:lvlJc w:val="left"/>
      <w:pPr>
        <w:ind w:left="939" w:hanging="360"/>
      </w:pPr>
    </w:lvl>
    <w:lvl w:ilvl="2" w:tplc="0419001B" w:tentative="1">
      <w:start w:val="1"/>
      <w:numFmt w:val="lowerRoman"/>
      <w:lvlText w:val="%3."/>
      <w:lvlJc w:val="right"/>
      <w:pPr>
        <w:ind w:left="1659" w:hanging="180"/>
      </w:pPr>
    </w:lvl>
    <w:lvl w:ilvl="3" w:tplc="0419000F" w:tentative="1">
      <w:start w:val="1"/>
      <w:numFmt w:val="decimal"/>
      <w:lvlText w:val="%4."/>
      <w:lvlJc w:val="left"/>
      <w:pPr>
        <w:ind w:left="2379" w:hanging="360"/>
      </w:pPr>
    </w:lvl>
    <w:lvl w:ilvl="4" w:tplc="04190019" w:tentative="1">
      <w:start w:val="1"/>
      <w:numFmt w:val="lowerLetter"/>
      <w:lvlText w:val="%5."/>
      <w:lvlJc w:val="left"/>
      <w:pPr>
        <w:ind w:left="3099" w:hanging="360"/>
      </w:pPr>
    </w:lvl>
    <w:lvl w:ilvl="5" w:tplc="0419001B" w:tentative="1">
      <w:start w:val="1"/>
      <w:numFmt w:val="lowerRoman"/>
      <w:lvlText w:val="%6."/>
      <w:lvlJc w:val="right"/>
      <w:pPr>
        <w:ind w:left="3819" w:hanging="180"/>
      </w:pPr>
    </w:lvl>
    <w:lvl w:ilvl="6" w:tplc="0419000F" w:tentative="1">
      <w:start w:val="1"/>
      <w:numFmt w:val="decimal"/>
      <w:lvlText w:val="%7."/>
      <w:lvlJc w:val="left"/>
      <w:pPr>
        <w:ind w:left="4539" w:hanging="360"/>
      </w:pPr>
    </w:lvl>
    <w:lvl w:ilvl="7" w:tplc="04190019" w:tentative="1">
      <w:start w:val="1"/>
      <w:numFmt w:val="lowerLetter"/>
      <w:lvlText w:val="%8."/>
      <w:lvlJc w:val="left"/>
      <w:pPr>
        <w:ind w:left="5259" w:hanging="360"/>
      </w:pPr>
    </w:lvl>
    <w:lvl w:ilvl="8" w:tplc="0419001B" w:tentative="1">
      <w:start w:val="1"/>
      <w:numFmt w:val="lowerRoman"/>
      <w:lvlText w:val="%9."/>
      <w:lvlJc w:val="right"/>
      <w:pPr>
        <w:ind w:left="5979" w:hanging="180"/>
      </w:pPr>
    </w:lvl>
  </w:abstractNum>
  <w:abstractNum w:abstractNumId="9">
    <w:nsid w:val="323E2574"/>
    <w:multiLevelType w:val="hybridMultilevel"/>
    <w:tmpl w:val="B8A40AF8"/>
    <w:lvl w:ilvl="0" w:tplc="6D9EBC5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32650A08"/>
    <w:multiLevelType w:val="multilevel"/>
    <w:tmpl w:val="85C0924A"/>
    <w:lvl w:ilvl="0">
      <w:start w:val="1"/>
      <w:numFmt w:val="decimal"/>
      <w:lvlText w:val="%1."/>
      <w:lvlJc w:val="left"/>
      <w:pPr>
        <w:tabs>
          <w:tab w:val="num" w:pos="644"/>
        </w:tabs>
        <w:ind w:left="644" w:hanging="360"/>
      </w:pPr>
      <w:rPr>
        <w:rFonts w:hint="default"/>
        <w:b/>
        <w:i/>
        <w:strike w:val="0"/>
        <w:shadow/>
        <w:color w:val="auto"/>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B30DEF"/>
    <w:multiLevelType w:val="hybridMultilevel"/>
    <w:tmpl w:val="30EA01C0"/>
    <w:lvl w:ilvl="0" w:tplc="935E12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ED5313A"/>
    <w:multiLevelType w:val="multilevel"/>
    <w:tmpl w:val="770096AC"/>
    <w:lvl w:ilvl="0">
      <w:start w:val="1"/>
      <w:numFmt w:val="decimal"/>
      <w:lvlText w:val="%1."/>
      <w:lvlJc w:val="left"/>
      <w:pPr>
        <w:tabs>
          <w:tab w:val="num" w:pos="720"/>
        </w:tabs>
        <w:ind w:left="720" w:hanging="360"/>
      </w:pPr>
      <w:rPr>
        <w:rFonts w:hint="default"/>
        <w:b/>
        <w:i/>
        <w:strike w:val="0"/>
        <w:shadow/>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C941AB"/>
    <w:multiLevelType w:val="hybridMultilevel"/>
    <w:tmpl w:val="2216F5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BE79D6"/>
    <w:multiLevelType w:val="hybridMultilevel"/>
    <w:tmpl w:val="AE708CB4"/>
    <w:lvl w:ilvl="0" w:tplc="12A483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51E4D54"/>
    <w:multiLevelType w:val="hybridMultilevel"/>
    <w:tmpl w:val="9AE6F0D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nsid w:val="464F1610"/>
    <w:multiLevelType w:val="hybridMultilevel"/>
    <w:tmpl w:val="0004F260"/>
    <w:lvl w:ilvl="0" w:tplc="00FAD49A">
      <w:start w:val="1"/>
      <w:numFmt w:val="decimal"/>
      <w:lvlText w:val="%1."/>
      <w:lvlJc w:val="left"/>
      <w:pPr>
        <w:ind w:left="360" w:hanging="360"/>
      </w:pPr>
      <w:rPr>
        <w:b/>
        <w:i/>
        <w:shadow/>
        <w:color w:val="auto"/>
      </w:rPr>
    </w:lvl>
    <w:lvl w:ilvl="1" w:tplc="04190019">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17">
    <w:nsid w:val="4FC56D17"/>
    <w:multiLevelType w:val="hybridMultilevel"/>
    <w:tmpl w:val="6A1C43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3244CA"/>
    <w:multiLevelType w:val="hybridMultilevel"/>
    <w:tmpl w:val="50CE69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3A7F4C"/>
    <w:multiLevelType w:val="hybridMultilevel"/>
    <w:tmpl w:val="6A4099D6"/>
    <w:lvl w:ilvl="0" w:tplc="88081F56">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58D81803"/>
    <w:multiLevelType w:val="hybridMultilevel"/>
    <w:tmpl w:val="BDA01626"/>
    <w:lvl w:ilvl="0" w:tplc="1E7CEABC">
      <w:start w:val="1"/>
      <w:numFmt w:val="decimal"/>
      <w:lvlText w:val="%1."/>
      <w:lvlJc w:val="left"/>
      <w:pPr>
        <w:ind w:left="502" w:hanging="360"/>
      </w:pPr>
      <w:rPr>
        <w:rFonts w:cs="Garamond"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599866AA"/>
    <w:multiLevelType w:val="hybridMultilevel"/>
    <w:tmpl w:val="B70E11E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A13429A"/>
    <w:multiLevelType w:val="hybridMultilevel"/>
    <w:tmpl w:val="CB6A2020"/>
    <w:lvl w:ilvl="0" w:tplc="0388D682">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C0447BE"/>
    <w:multiLevelType w:val="hybridMultilevel"/>
    <w:tmpl w:val="2CBA3836"/>
    <w:lvl w:ilvl="0" w:tplc="4A6097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951131"/>
    <w:multiLevelType w:val="hybridMultilevel"/>
    <w:tmpl w:val="113438D2"/>
    <w:lvl w:ilvl="0" w:tplc="6D7231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3636CE9"/>
    <w:multiLevelType w:val="hybridMultilevel"/>
    <w:tmpl w:val="3574F6BE"/>
    <w:lvl w:ilvl="0" w:tplc="4EBE2FFC">
      <w:start w:val="3"/>
      <w:numFmt w:val="decimal"/>
      <w:lvlText w:val="%1."/>
      <w:lvlJc w:val="left"/>
      <w:pPr>
        <w:ind w:left="502" w:hanging="360"/>
      </w:pPr>
      <w:rPr>
        <w:rFonts w:cs="Garamond"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7ADD42E3"/>
    <w:multiLevelType w:val="hybridMultilevel"/>
    <w:tmpl w:val="62BEA2F8"/>
    <w:lvl w:ilvl="0" w:tplc="27568B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8"/>
  </w:num>
  <w:num w:numId="3">
    <w:abstractNumId w:val="22"/>
  </w:num>
  <w:num w:numId="4">
    <w:abstractNumId w:val="2"/>
  </w:num>
  <w:num w:numId="5">
    <w:abstractNumId w:val="10"/>
  </w:num>
  <w:num w:numId="6">
    <w:abstractNumId w:val="11"/>
  </w:num>
  <w:num w:numId="7">
    <w:abstractNumId w:val="23"/>
  </w:num>
  <w:num w:numId="8">
    <w:abstractNumId w:val="21"/>
  </w:num>
  <w:num w:numId="9">
    <w:abstractNumId w:val="16"/>
  </w:num>
  <w:num w:numId="10">
    <w:abstractNumId w:val="15"/>
  </w:num>
  <w:num w:numId="11">
    <w:abstractNumId w:val="18"/>
  </w:num>
  <w:num w:numId="12">
    <w:abstractNumId w:val="13"/>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9"/>
  </w:num>
  <w:num w:numId="18">
    <w:abstractNumId w:val="5"/>
  </w:num>
  <w:num w:numId="19">
    <w:abstractNumId w:val="26"/>
  </w:num>
  <w:num w:numId="20">
    <w:abstractNumId w:val="14"/>
  </w:num>
  <w:num w:numId="21">
    <w:abstractNumId w:val="4"/>
  </w:num>
  <w:num w:numId="22">
    <w:abstractNumId w:val="20"/>
  </w:num>
  <w:num w:numId="23">
    <w:abstractNumId w:val="25"/>
  </w:num>
  <w:num w:numId="24">
    <w:abstractNumId w:val="19"/>
  </w:num>
  <w:num w:numId="25">
    <w:abstractNumId w:val="0"/>
  </w:num>
  <w:num w:numId="26">
    <w:abstractNumId w:val="3"/>
  </w:num>
  <w:num w:numId="27">
    <w:abstractNumId w:val="6"/>
  </w:num>
  <w:num w:numId="28">
    <w:abstractNumId w:val="1"/>
  </w:num>
  <w:num w:numId="29">
    <w:abstractNumId w:val="7"/>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A0A"/>
    <w:rsid w:val="000C3A90"/>
    <w:rsid w:val="000D5F6A"/>
    <w:rsid w:val="000F76BF"/>
    <w:rsid w:val="00102994"/>
    <w:rsid w:val="00164F1C"/>
    <w:rsid w:val="001B1FD7"/>
    <w:rsid w:val="001C5403"/>
    <w:rsid w:val="001D57E0"/>
    <w:rsid w:val="001F5041"/>
    <w:rsid w:val="00246744"/>
    <w:rsid w:val="0026189B"/>
    <w:rsid w:val="002D1EAA"/>
    <w:rsid w:val="00313BCC"/>
    <w:rsid w:val="00340345"/>
    <w:rsid w:val="00377CDE"/>
    <w:rsid w:val="003B14BB"/>
    <w:rsid w:val="003C32E9"/>
    <w:rsid w:val="003D0D6A"/>
    <w:rsid w:val="003E5BCE"/>
    <w:rsid w:val="003F1059"/>
    <w:rsid w:val="0041198B"/>
    <w:rsid w:val="0041651E"/>
    <w:rsid w:val="0042013C"/>
    <w:rsid w:val="00440E9B"/>
    <w:rsid w:val="0044668A"/>
    <w:rsid w:val="004A175F"/>
    <w:rsid w:val="004D1868"/>
    <w:rsid w:val="004E1B42"/>
    <w:rsid w:val="004F641B"/>
    <w:rsid w:val="005213FD"/>
    <w:rsid w:val="00544CB7"/>
    <w:rsid w:val="00551AC3"/>
    <w:rsid w:val="00561936"/>
    <w:rsid w:val="005629DE"/>
    <w:rsid w:val="00636141"/>
    <w:rsid w:val="0067378F"/>
    <w:rsid w:val="00683EAF"/>
    <w:rsid w:val="006A09C9"/>
    <w:rsid w:val="006D3CA2"/>
    <w:rsid w:val="006E363F"/>
    <w:rsid w:val="00727A0A"/>
    <w:rsid w:val="0075283A"/>
    <w:rsid w:val="00764E97"/>
    <w:rsid w:val="007976E8"/>
    <w:rsid w:val="007A69E1"/>
    <w:rsid w:val="007D732B"/>
    <w:rsid w:val="007D7B66"/>
    <w:rsid w:val="007F2AAE"/>
    <w:rsid w:val="00852CE9"/>
    <w:rsid w:val="00852F3A"/>
    <w:rsid w:val="00880F59"/>
    <w:rsid w:val="008C51CB"/>
    <w:rsid w:val="008E7EB1"/>
    <w:rsid w:val="00907729"/>
    <w:rsid w:val="009128B0"/>
    <w:rsid w:val="009427D7"/>
    <w:rsid w:val="00982993"/>
    <w:rsid w:val="00AF116C"/>
    <w:rsid w:val="00AF2A67"/>
    <w:rsid w:val="00B358D3"/>
    <w:rsid w:val="00B42D8D"/>
    <w:rsid w:val="00B6745C"/>
    <w:rsid w:val="00B72EF6"/>
    <w:rsid w:val="00B777F5"/>
    <w:rsid w:val="00B826AB"/>
    <w:rsid w:val="00B83A62"/>
    <w:rsid w:val="00B855A5"/>
    <w:rsid w:val="00BA495D"/>
    <w:rsid w:val="00BE2B72"/>
    <w:rsid w:val="00C34211"/>
    <w:rsid w:val="00C65F81"/>
    <w:rsid w:val="00C94395"/>
    <w:rsid w:val="00C97564"/>
    <w:rsid w:val="00D15328"/>
    <w:rsid w:val="00D52CA6"/>
    <w:rsid w:val="00DB2929"/>
    <w:rsid w:val="00DE0D86"/>
    <w:rsid w:val="00DF5235"/>
    <w:rsid w:val="00E71405"/>
    <w:rsid w:val="00E72F72"/>
    <w:rsid w:val="00E827CC"/>
    <w:rsid w:val="00EA6DD3"/>
    <w:rsid w:val="00ED0978"/>
    <w:rsid w:val="00F76D54"/>
    <w:rsid w:val="00F811DD"/>
    <w:rsid w:val="00F86856"/>
    <w:rsid w:val="00F95B7F"/>
    <w:rsid w:val="00FA1778"/>
    <w:rsid w:val="00FF0D19"/>
    <w:rsid w:val="00FF2524"/>
    <w:rsid w:val="00FF7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FD7"/>
    <w:rPr>
      <w:rFonts w:ascii="Calibri" w:eastAsia="Calibri" w:hAnsi="Calibri" w:cs="Times New Roman"/>
    </w:rPr>
  </w:style>
  <w:style w:type="paragraph" w:styleId="1">
    <w:name w:val="heading 1"/>
    <w:basedOn w:val="a"/>
    <w:next w:val="a"/>
    <w:link w:val="10"/>
    <w:uiPriority w:val="9"/>
    <w:qFormat/>
    <w:rsid w:val="001B1FD7"/>
    <w:pPr>
      <w:keepNext/>
      <w:spacing w:before="240" w:after="60"/>
      <w:outlineLvl w:val="0"/>
    </w:pPr>
    <w:rPr>
      <w:rFonts w:ascii="Cambria" w:eastAsia="Times New Roman" w:hAnsi="Cambria" w:cs="Mangal"/>
      <w:b/>
      <w:bCs/>
      <w:kern w:val="32"/>
      <w:sz w:val="32"/>
      <w:szCs w:val="32"/>
      <w:lang w:val="x-none" w:bidi="sa-IN"/>
    </w:rPr>
  </w:style>
  <w:style w:type="paragraph" w:styleId="2">
    <w:name w:val="heading 2"/>
    <w:basedOn w:val="a"/>
    <w:next w:val="a"/>
    <w:link w:val="20"/>
    <w:uiPriority w:val="9"/>
    <w:unhideWhenUsed/>
    <w:qFormat/>
    <w:rsid w:val="001B1FD7"/>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1FD7"/>
    <w:rPr>
      <w:rFonts w:ascii="Cambria" w:eastAsia="Times New Roman" w:hAnsi="Cambria" w:cs="Mangal"/>
      <w:b/>
      <w:bCs/>
      <w:kern w:val="32"/>
      <w:sz w:val="32"/>
      <w:szCs w:val="32"/>
      <w:lang w:val="x-none" w:bidi="sa-IN"/>
    </w:rPr>
  </w:style>
  <w:style w:type="character" w:customStyle="1" w:styleId="20">
    <w:name w:val="Заголовок 2 Знак"/>
    <w:basedOn w:val="a0"/>
    <w:link w:val="2"/>
    <w:uiPriority w:val="9"/>
    <w:rsid w:val="001B1FD7"/>
    <w:rPr>
      <w:rFonts w:ascii="Cambria" w:eastAsia="Times New Roman" w:hAnsi="Cambria" w:cs="Times New Roman"/>
      <w:b/>
      <w:bCs/>
      <w:i/>
      <w:iCs/>
      <w:sz w:val="28"/>
      <w:szCs w:val="28"/>
    </w:rPr>
  </w:style>
  <w:style w:type="paragraph" w:styleId="a3">
    <w:name w:val="Balloon Text"/>
    <w:basedOn w:val="a"/>
    <w:link w:val="a4"/>
    <w:uiPriority w:val="99"/>
    <w:semiHidden/>
    <w:unhideWhenUsed/>
    <w:rsid w:val="001B1FD7"/>
    <w:pPr>
      <w:spacing w:after="0" w:line="240" w:lineRule="auto"/>
    </w:pPr>
    <w:rPr>
      <w:rFonts w:ascii="Tahoma" w:hAnsi="Tahoma" w:cs="Mangal"/>
      <w:sz w:val="16"/>
      <w:szCs w:val="16"/>
      <w:lang w:val="x-none" w:eastAsia="x-none" w:bidi="sa-IN"/>
    </w:rPr>
  </w:style>
  <w:style w:type="character" w:customStyle="1" w:styleId="a4">
    <w:name w:val="Текст выноски Знак"/>
    <w:basedOn w:val="a0"/>
    <w:link w:val="a3"/>
    <w:uiPriority w:val="99"/>
    <w:semiHidden/>
    <w:rsid w:val="001B1FD7"/>
    <w:rPr>
      <w:rFonts w:ascii="Tahoma" w:eastAsia="Calibri" w:hAnsi="Tahoma" w:cs="Mangal"/>
      <w:sz w:val="16"/>
      <w:szCs w:val="16"/>
      <w:lang w:val="x-none" w:eastAsia="x-none" w:bidi="sa-IN"/>
    </w:rPr>
  </w:style>
  <w:style w:type="paragraph" w:styleId="a5">
    <w:name w:val="footnote text"/>
    <w:basedOn w:val="a"/>
    <w:link w:val="a6"/>
    <w:semiHidden/>
    <w:rsid w:val="001B1FD7"/>
    <w:pPr>
      <w:spacing w:after="0" w:line="240" w:lineRule="auto"/>
    </w:pPr>
    <w:rPr>
      <w:rFonts w:ascii="Times New Roman" w:eastAsia="Times New Roman" w:hAnsi="Times New Roman" w:cs="Mangal"/>
      <w:sz w:val="20"/>
      <w:szCs w:val="20"/>
      <w:lang w:val="x-none" w:eastAsia="ru-RU" w:bidi="sa-IN"/>
    </w:rPr>
  </w:style>
  <w:style w:type="character" w:customStyle="1" w:styleId="a6">
    <w:name w:val="Текст сноски Знак"/>
    <w:basedOn w:val="a0"/>
    <w:link w:val="a5"/>
    <w:semiHidden/>
    <w:rsid w:val="001B1FD7"/>
    <w:rPr>
      <w:rFonts w:ascii="Times New Roman" w:eastAsia="Times New Roman" w:hAnsi="Times New Roman" w:cs="Mangal"/>
      <w:sz w:val="20"/>
      <w:szCs w:val="20"/>
      <w:lang w:val="x-none" w:eastAsia="ru-RU" w:bidi="sa-IN"/>
    </w:rPr>
  </w:style>
  <w:style w:type="character" w:styleId="a7">
    <w:name w:val="footnote reference"/>
    <w:semiHidden/>
    <w:rsid w:val="001B1FD7"/>
    <w:rPr>
      <w:vertAlign w:val="superscript"/>
    </w:rPr>
  </w:style>
  <w:style w:type="paragraph" w:styleId="a8">
    <w:name w:val="caption"/>
    <w:basedOn w:val="a"/>
    <w:next w:val="a"/>
    <w:uiPriority w:val="35"/>
    <w:qFormat/>
    <w:rsid w:val="001B1FD7"/>
    <w:pPr>
      <w:spacing w:after="0" w:line="240" w:lineRule="auto"/>
    </w:pPr>
    <w:rPr>
      <w:rFonts w:ascii="Times New Roman" w:eastAsia="Times New Roman" w:hAnsi="Times New Roman"/>
      <w:b/>
      <w:bCs/>
      <w:sz w:val="20"/>
      <w:szCs w:val="20"/>
      <w:lang w:eastAsia="ru-RU"/>
    </w:rPr>
  </w:style>
  <w:style w:type="paragraph" w:styleId="a9">
    <w:name w:val="Document Map"/>
    <w:basedOn w:val="a"/>
    <w:link w:val="aa"/>
    <w:uiPriority w:val="99"/>
    <w:semiHidden/>
    <w:unhideWhenUsed/>
    <w:rsid w:val="001B1FD7"/>
    <w:pPr>
      <w:spacing w:after="0" w:line="240" w:lineRule="auto"/>
    </w:pPr>
    <w:rPr>
      <w:rFonts w:ascii="Tahoma" w:hAnsi="Tahoma" w:cs="Mangal"/>
      <w:sz w:val="16"/>
      <w:szCs w:val="16"/>
      <w:lang w:val="x-none" w:eastAsia="x-none" w:bidi="sa-IN"/>
    </w:rPr>
  </w:style>
  <w:style w:type="character" w:customStyle="1" w:styleId="aa">
    <w:name w:val="Схема документа Знак"/>
    <w:basedOn w:val="a0"/>
    <w:link w:val="a9"/>
    <w:uiPriority w:val="99"/>
    <w:semiHidden/>
    <w:rsid w:val="001B1FD7"/>
    <w:rPr>
      <w:rFonts w:ascii="Tahoma" w:eastAsia="Calibri" w:hAnsi="Tahoma" w:cs="Mangal"/>
      <w:sz w:val="16"/>
      <w:szCs w:val="16"/>
      <w:lang w:val="x-none" w:eastAsia="x-none" w:bidi="sa-IN"/>
    </w:rPr>
  </w:style>
  <w:style w:type="paragraph" w:styleId="ab">
    <w:name w:val="header"/>
    <w:basedOn w:val="a"/>
    <w:link w:val="ac"/>
    <w:uiPriority w:val="99"/>
    <w:unhideWhenUsed/>
    <w:rsid w:val="001B1FD7"/>
    <w:pPr>
      <w:tabs>
        <w:tab w:val="center" w:pos="4677"/>
        <w:tab w:val="right" w:pos="9355"/>
      </w:tabs>
      <w:spacing w:after="0" w:line="240" w:lineRule="auto"/>
    </w:pPr>
    <w:rPr>
      <w:rFonts w:cs="Mangal"/>
      <w:sz w:val="20"/>
      <w:szCs w:val="20"/>
      <w:lang w:val="x-none" w:eastAsia="x-none" w:bidi="sa-IN"/>
    </w:rPr>
  </w:style>
  <w:style w:type="character" w:customStyle="1" w:styleId="ac">
    <w:name w:val="Верхний колонтитул Знак"/>
    <w:basedOn w:val="a0"/>
    <w:link w:val="ab"/>
    <w:uiPriority w:val="99"/>
    <w:rsid w:val="001B1FD7"/>
    <w:rPr>
      <w:rFonts w:ascii="Calibri" w:eastAsia="Calibri" w:hAnsi="Calibri" w:cs="Mangal"/>
      <w:sz w:val="20"/>
      <w:szCs w:val="20"/>
      <w:lang w:val="x-none" w:eastAsia="x-none" w:bidi="sa-IN"/>
    </w:rPr>
  </w:style>
  <w:style w:type="paragraph" w:styleId="ad">
    <w:name w:val="footer"/>
    <w:basedOn w:val="a"/>
    <w:link w:val="ae"/>
    <w:uiPriority w:val="99"/>
    <w:unhideWhenUsed/>
    <w:rsid w:val="001B1FD7"/>
    <w:pPr>
      <w:tabs>
        <w:tab w:val="center" w:pos="4677"/>
        <w:tab w:val="right" w:pos="9355"/>
      </w:tabs>
      <w:spacing w:after="0" w:line="240" w:lineRule="auto"/>
    </w:pPr>
    <w:rPr>
      <w:rFonts w:cs="Mangal"/>
      <w:sz w:val="20"/>
      <w:szCs w:val="20"/>
      <w:lang w:val="x-none" w:eastAsia="x-none" w:bidi="sa-IN"/>
    </w:rPr>
  </w:style>
  <w:style w:type="character" w:customStyle="1" w:styleId="ae">
    <w:name w:val="Нижний колонтитул Знак"/>
    <w:basedOn w:val="a0"/>
    <w:link w:val="ad"/>
    <w:uiPriority w:val="99"/>
    <w:rsid w:val="001B1FD7"/>
    <w:rPr>
      <w:rFonts w:ascii="Calibri" w:eastAsia="Calibri" w:hAnsi="Calibri" w:cs="Mangal"/>
      <w:sz w:val="20"/>
      <w:szCs w:val="20"/>
      <w:lang w:val="x-none" w:eastAsia="x-none" w:bidi="sa-IN"/>
    </w:rPr>
  </w:style>
  <w:style w:type="paragraph" w:styleId="af">
    <w:name w:val="List Paragraph"/>
    <w:basedOn w:val="a"/>
    <w:uiPriority w:val="34"/>
    <w:qFormat/>
    <w:rsid w:val="001B1FD7"/>
    <w:pPr>
      <w:ind w:left="720"/>
      <w:contextualSpacing/>
    </w:pPr>
  </w:style>
  <w:style w:type="paragraph" w:styleId="af0">
    <w:name w:val="Normal (Web)"/>
    <w:basedOn w:val="a"/>
    <w:uiPriority w:val="99"/>
    <w:unhideWhenUsed/>
    <w:rsid w:val="001B1FD7"/>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Hyperlink"/>
    <w:uiPriority w:val="99"/>
    <w:unhideWhenUsed/>
    <w:rsid w:val="001B1FD7"/>
    <w:rPr>
      <w:color w:val="0000FF"/>
      <w:u w:val="single"/>
    </w:rPr>
  </w:style>
  <w:style w:type="table" w:styleId="af2">
    <w:name w:val="Table Grid"/>
    <w:basedOn w:val="a1"/>
    <w:uiPriority w:val="59"/>
    <w:rsid w:val="001B1FD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annotation reference"/>
    <w:uiPriority w:val="99"/>
    <w:semiHidden/>
    <w:unhideWhenUsed/>
    <w:rsid w:val="001B1FD7"/>
    <w:rPr>
      <w:sz w:val="16"/>
      <w:szCs w:val="16"/>
    </w:rPr>
  </w:style>
  <w:style w:type="paragraph" w:styleId="af4">
    <w:name w:val="annotation text"/>
    <w:basedOn w:val="a"/>
    <w:link w:val="af5"/>
    <w:uiPriority w:val="99"/>
    <w:semiHidden/>
    <w:unhideWhenUsed/>
    <w:rsid w:val="001B1FD7"/>
    <w:pPr>
      <w:spacing w:line="240" w:lineRule="auto"/>
    </w:pPr>
    <w:rPr>
      <w:rFonts w:cs="Mangal"/>
      <w:sz w:val="20"/>
      <w:szCs w:val="20"/>
      <w:lang w:val="x-none" w:eastAsia="x-none" w:bidi="sa-IN"/>
    </w:rPr>
  </w:style>
  <w:style w:type="character" w:customStyle="1" w:styleId="af5">
    <w:name w:val="Текст примечания Знак"/>
    <w:basedOn w:val="a0"/>
    <w:link w:val="af4"/>
    <w:uiPriority w:val="99"/>
    <w:semiHidden/>
    <w:rsid w:val="001B1FD7"/>
    <w:rPr>
      <w:rFonts w:ascii="Calibri" w:eastAsia="Calibri" w:hAnsi="Calibri" w:cs="Mangal"/>
      <w:sz w:val="20"/>
      <w:szCs w:val="20"/>
      <w:lang w:val="x-none" w:eastAsia="x-none" w:bidi="sa-IN"/>
    </w:rPr>
  </w:style>
  <w:style w:type="paragraph" w:styleId="af6">
    <w:name w:val="annotation subject"/>
    <w:basedOn w:val="af4"/>
    <w:next w:val="af4"/>
    <w:link w:val="af7"/>
    <w:uiPriority w:val="99"/>
    <w:semiHidden/>
    <w:unhideWhenUsed/>
    <w:rsid w:val="001B1FD7"/>
    <w:rPr>
      <w:b/>
      <w:bCs/>
    </w:rPr>
  </w:style>
  <w:style w:type="character" w:customStyle="1" w:styleId="af7">
    <w:name w:val="Тема примечания Знак"/>
    <w:basedOn w:val="af5"/>
    <w:link w:val="af6"/>
    <w:uiPriority w:val="99"/>
    <w:semiHidden/>
    <w:rsid w:val="001B1FD7"/>
    <w:rPr>
      <w:rFonts w:ascii="Calibri" w:eastAsia="Calibri" w:hAnsi="Calibri" w:cs="Mangal"/>
      <w:b/>
      <w:bCs/>
      <w:sz w:val="20"/>
      <w:szCs w:val="20"/>
      <w:lang w:val="x-none" w:eastAsia="x-none" w:bidi="sa-IN"/>
    </w:rPr>
  </w:style>
  <w:style w:type="paragraph" w:styleId="af8">
    <w:name w:val="Revision"/>
    <w:hidden/>
    <w:uiPriority w:val="99"/>
    <w:semiHidden/>
    <w:rsid w:val="001B1FD7"/>
    <w:pPr>
      <w:spacing w:after="0" w:line="240" w:lineRule="auto"/>
    </w:pPr>
    <w:rPr>
      <w:rFonts w:ascii="Calibri" w:eastAsia="Calibri" w:hAnsi="Calibri" w:cs="Times New Roman"/>
    </w:rPr>
  </w:style>
  <w:style w:type="character" w:styleId="af9">
    <w:name w:val="Strong"/>
    <w:uiPriority w:val="22"/>
    <w:qFormat/>
    <w:rsid w:val="001B1FD7"/>
    <w:rPr>
      <w:b/>
      <w:bCs/>
    </w:rPr>
  </w:style>
  <w:style w:type="character" w:customStyle="1" w:styleId="afa">
    <w:name w:val="Текст концевой сноски Знак"/>
    <w:link w:val="afb"/>
    <w:uiPriority w:val="99"/>
    <w:semiHidden/>
    <w:rsid w:val="001B1FD7"/>
  </w:style>
  <w:style w:type="paragraph" w:styleId="afb">
    <w:name w:val="endnote text"/>
    <w:basedOn w:val="a"/>
    <w:link w:val="afa"/>
    <w:uiPriority w:val="99"/>
    <w:semiHidden/>
    <w:unhideWhenUsed/>
    <w:rsid w:val="001B1FD7"/>
    <w:pPr>
      <w:spacing w:after="0" w:line="240" w:lineRule="auto"/>
    </w:pPr>
    <w:rPr>
      <w:rFonts w:asciiTheme="minorHAnsi" w:eastAsiaTheme="minorHAnsi" w:hAnsiTheme="minorHAnsi" w:cstheme="minorBidi"/>
    </w:rPr>
  </w:style>
  <w:style w:type="character" w:customStyle="1" w:styleId="11">
    <w:name w:val="Текст концевой сноски Знак1"/>
    <w:basedOn w:val="a0"/>
    <w:uiPriority w:val="99"/>
    <w:semiHidden/>
    <w:rsid w:val="001B1FD7"/>
    <w:rPr>
      <w:rFonts w:ascii="Calibri" w:eastAsia="Calibri" w:hAnsi="Calibri" w:cs="Times New Roman"/>
      <w:sz w:val="20"/>
      <w:szCs w:val="20"/>
    </w:rPr>
  </w:style>
  <w:style w:type="paragraph" w:styleId="afc">
    <w:name w:val="No Spacing"/>
    <w:link w:val="afd"/>
    <w:uiPriority w:val="1"/>
    <w:qFormat/>
    <w:rsid w:val="001B1FD7"/>
    <w:pPr>
      <w:spacing w:after="0" w:line="240" w:lineRule="auto"/>
    </w:pPr>
    <w:rPr>
      <w:rFonts w:ascii="Calibri" w:eastAsia="Calibri" w:hAnsi="Calibri" w:cs="Times New Roman"/>
    </w:rPr>
  </w:style>
  <w:style w:type="character" w:styleId="afe">
    <w:name w:val="endnote reference"/>
    <w:uiPriority w:val="99"/>
    <w:semiHidden/>
    <w:unhideWhenUsed/>
    <w:rsid w:val="001B1FD7"/>
    <w:rPr>
      <w:vertAlign w:val="superscript"/>
    </w:rPr>
  </w:style>
  <w:style w:type="table" w:customStyle="1" w:styleId="12">
    <w:name w:val="Светлая заливка1"/>
    <w:basedOn w:val="a1"/>
    <w:uiPriority w:val="60"/>
    <w:rsid w:val="001B1FD7"/>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3">
    <w:name w:val="Medium Grid 1 Accent 3"/>
    <w:basedOn w:val="a1"/>
    <w:uiPriority w:val="67"/>
    <w:rsid w:val="001B1FD7"/>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3">
    <w:name w:val="Colorful Grid Accent 3"/>
    <w:basedOn w:val="a1"/>
    <w:uiPriority w:val="73"/>
    <w:rsid w:val="001B1FD7"/>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3">
    <w:name w:val="Medium Shading 2 Accent 3"/>
    <w:basedOn w:val="a1"/>
    <w:uiPriority w:val="64"/>
    <w:rsid w:val="001B1FD7"/>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
    <w:name w:val="Medium List 2 Accent 6"/>
    <w:basedOn w:val="a1"/>
    <w:uiPriority w:val="66"/>
    <w:rsid w:val="001B1FD7"/>
    <w:pPr>
      <w:spacing w:after="0" w:line="240" w:lineRule="auto"/>
    </w:pPr>
    <w:rPr>
      <w:rFonts w:ascii="Cambria" w:eastAsia="Times New Roman" w:hAnsi="Cambria"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
    <w:name w:val="Light Shading Accent 2"/>
    <w:basedOn w:val="a1"/>
    <w:uiPriority w:val="60"/>
    <w:rsid w:val="001B1FD7"/>
    <w:pPr>
      <w:spacing w:after="0" w:line="240" w:lineRule="auto"/>
    </w:pPr>
    <w:rPr>
      <w:rFonts w:ascii="Calibri" w:eastAsia="Calibri" w:hAnsi="Calibri"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1-2">
    <w:name w:val="Medium List 1 Accent 2"/>
    <w:basedOn w:val="a1"/>
    <w:uiPriority w:val="65"/>
    <w:rsid w:val="001B1FD7"/>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character" w:customStyle="1" w:styleId="s1">
    <w:name w:val="s1"/>
    <w:rsid w:val="001B1FD7"/>
    <w:rPr>
      <w:rFonts w:ascii="Times New Roman" w:hAnsi="Times New Roman" w:cs="Times New Roman" w:hint="default"/>
      <w:b/>
      <w:bCs/>
      <w:i w:val="0"/>
      <w:iCs w:val="0"/>
      <w:strike w:val="0"/>
      <w:dstrike w:val="0"/>
      <w:color w:val="000000"/>
      <w:sz w:val="36"/>
      <w:szCs w:val="36"/>
      <w:u w:val="none"/>
      <w:effect w:val="none"/>
    </w:rPr>
  </w:style>
  <w:style w:type="character" w:customStyle="1" w:styleId="s0">
    <w:name w:val="s0"/>
    <w:rsid w:val="001B1FD7"/>
    <w:rPr>
      <w:rFonts w:ascii="Times New Roman" w:hAnsi="Times New Roman" w:cs="Times New Roman" w:hint="default"/>
      <w:b w:val="0"/>
      <w:bCs w:val="0"/>
      <w:i w:val="0"/>
      <w:iCs w:val="0"/>
      <w:strike w:val="0"/>
      <w:dstrike w:val="0"/>
      <w:color w:val="000000"/>
      <w:sz w:val="36"/>
      <w:szCs w:val="36"/>
      <w:u w:val="none"/>
      <w:effect w:val="none"/>
    </w:rPr>
  </w:style>
  <w:style w:type="table" w:styleId="1-30">
    <w:name w:val="Medium Shading 1 Accent 3"/>
    <w:basedOn w:val="a1"/>
    <w:uiPriority w:val="63"/>
    <w:rsid w:val="001B1FD7"/>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6">
    <w:name w:val="Medium List 1 Accent 6"/>
    <w:basedOn w:val="a1"/>
    <w:uiPriority w:val="65"/>
    <w:rsid w:val="001B1FD7"/>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1-60">
    <w:name w:val="Medium Grid 1 Accent 6"/>
    <w:basedOn w:val="a1"/>
    <w:uiPriority w:val="67"/>
    <w:rsid w:val="001B1FD7"/>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1-4">
    <w:name w:val="Medium Grid 1 Accent 4"/>
    <w:basedOn w:val="a1"/>
    <w:uiPriority w:val="67"/>
    <w:rsid w:val="001B1FD7"/>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11">
    <w:name w:val="Средний список 1 - Акцент 11"/>
    <w:basedOn w:val="a1"/>
    <w:uiPriority w:val="65"/>
    <w:rsid w:val="001B1FD7"/>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
    <w:name w:val="Светлая заливка - Акцент 11"/>
    <w:basedOn w:val="a1"/>
    <w:uiPriority w:val="60"/>
    <w:rsid w:val="001B1FD7"/>
    <w:pPr>
      <w:spacing w:after="0" w:line="240" w:lineRule="auto"/>
    </w:pPr>
    <w:rPr>
      <w:rFonts w:ascii="Calibri" w:eastAsia="Calibri"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5">
    <w:name w:val="Light Shading Accent 5"/>
    <w:basedOn w:val="a1"/>
    <w:uiPriority w:val="60"/>
    <w:rsid w:val="001B1FD7"/>
    <w:pPr>
      <w:spacing w:after="0" w:line="240" w:lineRule="auto"/>
    </w:pPr>
    <w:rPr>
      <w:rFonts w:ascii="Calibri" w:eastAsia="Calibri" w:hAnsi="Calibri"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aff">
    <w:name w:val="Emphasis"/>
    <w:uiPriority w:val="20"/>
    <w:qFormat/>
    <w:rsid w:val="001B1FD7"/>
    <w:rPr>
      <w:i/>
      <w:iCs/>
    </w:rPr>
  </w:style>
  <w:style w:type="character" w:customStyle="1" w:styleId="apple-converted-space">
    <w:name w:val="apple-converted-space"/>
    <w:rsid w:val="001B1FD7"/>
  </w:style>
  <w:style w:type="character" w:styleId="aff0">
    <w:name w:val="FollowedHyperlink"/>
    <w:uiPriority w:val="99"/>
    <w:semiHidden/>
    <w:unhideWhenUsed/>
    <w:rsid w:val="001B1FD7"/>
    <w:rPr>
      <w:color w:val="800080"/>
      <w:u w:val="single"/>
    </w:rPr>
  </w:style>
  <w:style w:type="table" w:customStyle="1" w:styleId="-12">
    <w:name w:val="Светлая заливка - Акцент 12"/>
    <w:basedOn w:val="a1"/>
    <w:uiPriority w:val="60"/>
    <w:rsid w:val="001B1FD7"/>
    <w:pPr>
      <w:spacing w:after="0" w:line="240" w:lineRule="auto"/>
    </w:pPr>
    <w:rPr>
      <w:rFonts w:ascii="Calibri" w:eastAsia="Calibri"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
    <w:name w:val="Светлая сетка - Акцент 11"/>
    <w:basedOn w:val="a1"/>
    <w:uiPriority w:val="62"/>
    <w:rsid w:val="001B1FD7"/>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0">
    <w:name w:val="Light Grid Accent 2"/>
    <w:basedOn w:val="a1"/>
    <w:uiPriority w:val="62"/>
    <w:rsid w:val="001B1FD7"/>
    <w:pPr>
      <w:spacing w:after="0" w:line="240" w:lineRule="auto"/>
    </w:pPr>
    <w:rPr>
      <w:rFonts w:ascii="Calibri" w:eastAsia="Calibri" w:hAnsi="Calibri"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0">
    <w:name w:val="Light Grid Accent 3"/>
    <w:basedOn w:val="a1"/>
    <w:uiPriority w:val="62"/>
    <w:rsid w:val="001B1FD7"/>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21">
    <w:name w:val="Средний список 21"/>
    <w:basedOn w:val="a1"/>
    <w:uiPriority w:val="66"/>
    <w:rsid w:val="001B1FD7"/>
    <w:pPr>
      <w:spacing w:after="0" w:line="240" w:lineRule="auto"/>
    </w:pPr>
    <w:rPr>
      <w:rFonts w:ascii="Cambria" w:eastAsia="Times New Roman" w:hAnsi="Cambria"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6">
    <w:name w:val="Light Shading Accent 6"/>
    <w:basedOn w:val="a1"/>
    <w:uiPriority w:val="60"/>
    <w:rsid w:val="001B1FD7"/>
    <w:pPr>
      <w:spacing w:after="0" w:line="240" w:lineRule="auto"/>
    </w:pPr>
    <w:rPr>
      <w:rFonts w:ascii="Calibri" w:eastAsia="Calibri" w:hAnsi="Calibri" w:cs="Times New Roman"/>
      <w:color w:val="E36C0A"/>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60">
    <w:name w:val="Medium Shading 2 Accent 6"/>
    <w:basedOn w:val="a1"/>
    <w:uiPriority w:val="64"/>
    <w:rsid w:val="001B1FD7"/>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61">
    <w:name w:val="Medium Shading 1 Accent 6"/>
    <w:basedOn w:val="a1"/>
    <w:uiPriority w:val="63"/>
    <w:rsid w:val="001B1FD7"/>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60">
    <w:name w:val="Light Grid Accent 6"/>
    <w:basedOn w:val="a1"/>
    <w:uiPriority w:val="62"/>
    <w:rsid w:val="001B1FD7"/>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4">
    <w:name w:val="Light Grid Accent 4"/>
    <w:basedOn w:val="a1"/>
    <w:uiPriority w:val="62"/>
    <w:rsid w:val="001B1FD7"/>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2-4">
    <w:name w:val="Medium Shading 2 Accent 4"/>
    <w:basedOn w:val="a1"/>
    <w:uiPriority w:val="64"/>
    <w:rsid w:val="001B1FD7"/>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40">
    <w:name w:val="Medium Shading 1 Accent 4"/>
    <w:basedOn w:val="a1"/>
    <w:uiPriority w:val="63"/>
    <w:rsid w:val="001B1FD7"/>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40">
    <w:name w:val="Light List Accent 4"/>
    <w:basedOn w:val="a1"/>
    <w:uiPriority w:val="61"/>
    <w:rsid w:val="001B1FD7"/>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2-40">
    <w:name w:val="Medium List 2 Accent 4"/>
    <w:basedOn w:val="a1"/>
    <w:uiPriority w:val="66"/>
    <w:rsid w:val="001B1FD7"/>
    <w:pPr>
      <w:spacing w:after="0" w:line="240" w:lineRule="auto"/>
    </w:pPr>
    <w:rPr>
      <w:rFonts w:ascii="Cambria" w:eastAsia="Times New Roman" w:hAnsi="Cambria"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50">
    <w:name w:val="Light Grid Accent 5"/>
    <w:basedOn w:val="a1"/>
    <w:uiPriority w:val="62"/>
    <w:rsid w:val="001B1FD7"/>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2-1">
    <w:name w:val="Medium List 2 Accent 1"/>
    <w:basedOn w:val="a1"/>
    <w:uiPriority w:val="66"/>
    <w:rsid w:val="001B1FD7"/>
    <w:pPr>
      <w:spacing w:after="0" w:line="240" w:lineRule="auto"/>
    </w:pPr>
    <w:rPr>
      <w:rFonts w:ascii="Cambria" w:eastAsia="Times New Roman" w:hAnsi="Cambria"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41">
    <w:name w:val="Medium Grid 2 Accent 4"/>
    <w:basedOn w:val="a1"/>
    <w:uiPriority w:val="68"/>
    <w:rsid w:val="001B1FD7"/>
    <w:pPr>
      <w:spacing w:after="0" w:line="240" w:lineRule="auto"/>
    </w:pPr>
    <w:rPr>
      <w:rFonts w:ascii="Cambria" w:eastAsia="Times New Roman" w:hAnsi="Cambria"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10">
    <w:name w:val="Medium Grid 2 Accent 1"/>
    <w:basedOn w:val="a1"/>
    <w:uiPriority w:val="68"/>
    <w:rsid w:val="001B1FD7"/>
    <w:pPr>
      <w:spacing w:after="0" w:line="240" w:lineRule="auto"/>
    </w:pPr>
    <w:rPr>
      <w:rFonts w:ascii="Cambria" w:eastAsia="Times New Roman" w:hAnsi="Cambria"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41">
    <w:name w:val="Light Shading Accent 4"/>
    <w:basedOn w:val="a1"/>
    <w:uiPriority w:val="60"/>
    <w:rsid w:val="001B1FD7"/>
    <w:pPr>
      <w:spacing w:after="0" w:line="240" w:lineRule="auto"/>
    </w:pPr>
    <w:rPr>
      <w:rFonts w:ascii="Calibri" w:eastAsia="Calibri" w:hAnsi="Calibri"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aff1">
    <w:name w:val="Subtitle"/>
    <w:basedOn w:val="a"/>
    <w:next w:val="a"/>
    <w:link w:val="aff2"/>
    <w:uiPriority w:val="11"/>
    <w:qFormat/>
    <w:rsid w:val="001B1FD7"/>
    <w:pPr>
      <w:spacing w:after="60"/>
      <w:jc w:val="center"/>
      <w:outlineLvl w:val="1"/>
    </w:pPr>
    <w:rPr>
      <w:rFonts w:ascii="Cambria" w:eastAsia="Times New Roman" w:hAnsi="Cambria"/>
      <w:sz w:val="24"/>
      <w:szCs w:val="24"/>
    </w:rPr>
  </w:style>
  <w:style w:type="character" w:customStyle="1" w:styleId="aff2">
    <w:name w:val="Подзаголовок Знак"/>
    <w:basedOn w:val="a0"/>
    <w:link w:val="aff1"/>
    <w:uiPriority w:val="11"/>
    <w:rsid w:val="001B1FD7"/>
    <w:rPr>
      <w:rFonts w:ascii="Cambria" w:eastAsia="Times New Roman" w:hAnsi="Cambria" w:cs="Times New Roman"/>
      <w:sz w:val="24"/>
      <w:szCs w:val="24"/>
    </w:rPr>
  </w:style>
  <w:style w:type="paragraph" w:styleId="aff3">
    <w:name w:val="TOC Heading"/>
    <w:basedOn w:val="1"/>
    <w:next w:val="a"/>
    <w:uiPriority w:val="39"/>
    <w:unhideWhenUsed/>
    <w:qFormat/>
    <w:rsid w:val="001B1FD7"/>
    <w:pPr>
      <w:keepLines/>
      <w:spacing w:before="480" w:after="0"/>
      <w:outlineLvl w:val="9"/>
    </w:pPr>
    <w:rPr>
      <w:rFonts w:cs="Times New Roman"/>
      <w:color w:val="365F91"/>
      <w:kern w:val="0"/>
      <w:sz w:val="28"/>
      <w:szCs w:val="28"/>
      <w:lang w:val="ru-RU" w:eastAsia="ru-RU" w:bidi="ar-SA"/>
    </w:rPr>
  </w:style>
  <w:style w:type="paragraph" w:styleId="13">
    <w:name w:val="toc 1"/>
    <w:basedOn w:val="a"/>
    <w:next w:val="a"/>
    <w:autoRedefine/>
    <w:uiPriority w:val="39"/>
    <w:unhideWhenUsed/>
    <w:rsid w:val="001B1FD7"/>
  </w:style>
  <w:style w:type="paragraph" w:styleId="22">
    <w:name w:val="toc 2"/>
    <w:basedOn w:val="a"/>
    <w:next w:val="a"/>
    <w:autoRedefine/>
    <w:uiPriority w:val="39"/>
    <w:unhideWhenUsed/>
    <w:rsid w:val="001B1FD7"/>
    <w:pPr>
      <w:ind w:left="220"/>
    </w:pPr>
  </w:style>
  <w:style w:type="character" w:customStyle="1" w:styleId="afd">
    <w:name w:val="Без интервала Знак"/>
    <w:link w:val="afc"/>
    <w:uiPriority w:val="1"/>
    <w:rsid w:val="001B1FD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FD7"/>
    <w:rPr>
      <w:rFonts w:ascii="Calibri" w:eastAsia="Calibri" w:hAnsi="Calibri" w:cs="Times New Roman"/>
    </w:rPr>
  </w:style>
  <w:style w:type="paragraph" w:styleId="1">
    <w:name w:val="heading 1"/>
    <w:basedOn w:val="a"/>
    <w:next w:val="a"/>
    <w:link w:val="10"/>
    <w:uiPriority w:val="9"/>
    <w:qFormat/>
    <w:rsid w:val="001B1FD7"/>
    <w:pPr>
      <w:keepNext/>
      <w:spacing w:before="240" w:after="60"/>
      <w:outlineLvl w:val="0"/>
    </w:pPr>
    <w:rPr>
      <w:rFonts w:ascii="Cambria" w:eastAsia="Times New Roman" w:hAnsi="Cambria" w:cs="Mangal"/>
      <w:b/>
      <w:bCs/>
      <w:kern w:val="32"/>
      <w:sz w:val="32"/>
      <w:szCs w:val="32"/>
      <w:lang w:val="x-none" w:bidi="sa-IN"/>
    </w:rPr>
  </w:style>
  <w:style w:type="paragraph" w:styleId="2">
    <w:name w:val="heading 2"/>
    <w:basedOn w:val="a"/>
    <w:next w:val="a"/>
    <w:link w:val="20"/>
    <w:uiPriority w:val="9"/>
    <w:unhideWhenUsed/>
    <w:qFormat/>
    <w:rsid w:val="001B1FD7"/>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1FD7"/>
    <w:rPr>
      <w:rFonts w:ascii="Cambria" w:eastAsia="Times New Roman" w:hAnsi="Cambria" w:cs="Mangal"/>
      <w:b/>
      <w:bCs/>
      <w:kern w:val="32"/>
      <w:sz w:val="32"/>
      <w:szCs w:val="32"/>
      <w:lang w:val="x-none" w:bidi="sa-IN"/>
    </w:rPr>
  </w:style>
  <w:style w:type="character" w:customStyle="1" w:styleId="20">
    <w:name w:val="Заголовок 2 Знак"/>
    <w:basedOn w:val="a0"/>
    <w:link w:val="2"/>
    <w:uiPriority w:val="9"/>
    <w:rsid w:val="001B1FD7"/>
    <w:rPr>
      <w:rFonts w:ascii="Cambria" w:eastAsia="Times New Roman" w:hAnsi="Cambria" w:cs="Times New Roman"/>
      <w:b/>
      <w:bCs/>
      <w:i/>
      <w:iCs/>
      <w:sz w:val="28"/>
      <w:szCs w:val="28"/>
    </w:rPr>
  </w:style>
  <w:style w:type="paragraph" w:styleId="a3">
    <w:name w:val="Balloon Text"/>
    <w:basedOn w:val="a"/>
    <w:link w:val="a4"/>
    <w:uiPriority w:val="99"/>
    <w:semiHidden/>
    <w:unhideWhenUsed/>
    <w:rsid w:val="001B1FD7"/>
    <w:pPr>
      <w:spacing w:after="0" w:line="240" w:lineRule="auto"/>
    </w:pPr>
    <w:rPr>
      <w:rFonts w:ascii="Tahoma" w:hAnsi="Tahoma" w:cs="Mangal"/>
      <w:sz w:val="16"/>
      <w:szCs w:val="16"/>
      <w:lang w:val="x-none" w:eastAsia="x-none" w:bidi="sa-IN"/>
    </w:rPr>
  </w:style>
  <w:style w:type="character" w:customStyle="1" w:styleId="a4">
    <w:name w:val="Текст выноски Знак"/>
    <w:basedOn w:val="a0"/>
    <w:link w:val="a3"/>
    <w:uiPriority w:val="99"/>
    <w:semiHidden/>
    <w:rsid w:val="001B1FD7"/>
    <w:rPr>
      <w:rFonts w:ascii="Tahoma" w:eastAsia="Calibri" w:hAnsi="Tahoma" w:cs="Mangal"/>
      <w:sz w:val="16"/>
      <w:szCs w:val="16"/>
      <w:lang w:val="x-none" w:eastAsia="x-none" w:bidi="sa-IN"/>
    </w:rPr>
  </w:style>
  <w:style w:type="paragraph" w:styleId="a5">
    <w:name w:val="footnote text"/>
    <w:basedOn w:val="a"/>
    <w:link w:val="a6"/>
    <w:semiHidden/>
    <w:rsid w:val="001B1FD7"/>
    <w:pPr>
      <w:spacing w:after="0" w:line="240" w:lineRule="auto"/>
    </w:pPr>
    <w:rPr>
      <w:rFonts w:ascii="Times New Roman" w:eastAsia="Times New Roman" w:hAnsi="Times New Roman" w:cs="Mangal"/>
      <w:sz w:val="20"/>
      <w:szCs w:val="20"/>
      <w:lang w:val="x-none" w:eastAsia="ru-RU" w:bidi="sa-IN"/>
    </w:rPr>
  </w:style>
  <w:style w:type="character" w:customStyle="1" w:styleId="a6">
    <w:name w:val="Текст сноски Знак"/>
    <w:basedOn w:val="a0"/>
    <w:link w:val="a5"/>
    <w:semiHidden/>
    <w:rsid w:val="001B1FD7"/>
    <w:rPr>
      <w:rFonts w:ascii="Times New Roman" w:eastAsia="Times New Roman" w:hAnsi="Times New Roman" w:cs="Mangal"/>
      <w:sz w:val="20"/>
      <w:szCs w:val="20"/>
      <w:lang w:val="x-none" w:eastAsia="ru-RU" w:bidi="sa-IN"/>
    </w:rPr>
  </w:style>
  <w:style w:type="character" w:styleId="a7">
    <w:name w:val="footnote reference"/>
    <w:semiHidden/>
    <w:rsid w:val="001B1FD7"/>
    <w:rPr>
      <w:vertAlign w:val="superscript"/>
    </w:rPr>
  </w:style>
  <w:style w:type="paragraph" w:styleId="a8">
    <w:name w:val="caption"/>
    <w:basedOn w:val="a"/>
    <w:next w:val="a"/>
    <w:uiPriority w:val="35"/>
    <w:qFormat/>
    <w:rsid w:val="001B1FD7"/>
    <w:pPr>
      <w:spacing w:after="0" w:line="240" w:lineRule="auto"/>
    </w:pPr>
    <w:rPr>
      <w:rFonts w:ascii="Times New Roman" w:eastAsia="Times New Roman" w:hAnsi="Times New Roman"/>
      <w:b/>
      <w:bCs/>
      <w:sz w:val="20"/>
      <w:szCs w:val="20"/>
      <w:lang w:eastAsia="ru-RU"/>
    </w:rPr>
  </w:style>
  <w:style w:type="paragraph" w:styleId="a9">
    <w:name w:val="Document Map"/>
    <w:basedOn w:val="a"/>
    <w:link w:val="aa"/>
    <w:uiPriority w:val="99"/>
    <w:semiHidden/>
    <w:unhideWhenUsed/>
    <w:rsid w:val="001B1FD7"/>
    <w:pPr>
      <w:spacing w:after="0" w:line="240" w:lineRule="auto"/>
    </w:pPr>
    <w:rPr>
      <w:rFonts w:ascii="Tahoma" w:hAnsi="Tahoma" w:cs="Mangal"/>
      <w:sz w:val="16"/>
      <w:szCs w:val="16"/>
      <w:lang w:val="x-none" w:eastAsia="x-none" w:bidi="sa-IN"/>
    </w:rPr>
  </w:style>
  <w:style w:type="character" w:customStyle="1" w:styleId="aa">
    <w:name w:val="Схема документа Знак"/>
    <w:basedOn w:val="a0"/>
    <w:link w:val="a9"/>
    <w:uiPriority w:val="99"/>
    <w:semiHidden/>
    <w:rsid w:val="001B1FD7"/>
    <w:rPr>
      <w:rFonts w:ascii="Tahoma" w:eastAsia="Calibri" w:hAnsi="Tahoma" w:cs="Mangal"/>
      <w:sz w:val="16"/>
      <w:szCs w:val="16"/>
      <w:lang w:val="x-none" w:eastAsia="x-none" w:bidi="sa-IN"/>
    </w:rPr>
  </w:style>
  <w:style w:type="paragraph" w:styleId="ab">
    <w:name w:val="header"/>
    <w:basedOn w:val="a"/>
    <w:link w:val="ac"/>
    <w:uiPriority w:val="99"/>
    <w:unhideWhenUsed/>
    <w:rsid w:val="001B1FD7"/>
    <w:pPr>
      <w:tabs>
        <w:tab w:val="center" w:pos="4677"/>
        <w:tab w:val="right" w:pos="9355"/>
      </w:tabs>
      <w:spacing w:after="0" w:line="240" w:lineRule="auto"/>
    </w:pPr>
    <w:rPr>
      <w:rFonts w:cs="Mangal"/>
      <w:sz w:val="20"/>
      <w:szCs w:val="20"/>
      <w:lang w:val="x-none" w:eastAsia="x-none" w:bidi="sa-IN"/>
    </w:rPr>
  </w:style>
  <w:style w:type="character" w:customStyle="1" w:styleId="ac">
    <w:name w:val="Верхний колонтитул Знак"/>
    <w:basedOn w:val="a0"/>
    <w:link w:val="ab"/>
    <w:uiPriority w:val="99"/>
    <w:rsid w:val="001B1FD7"/>
    <w:rPr>
      <w:rFonts w:ascii="Calibri" w:eastAsia="Calibri" w:hAnsi="Calibri" w:cs="Mangal"/>
      <w:sz w:val="20"/>
      <w:szCs w:val="20"/>
      <w:lang w:val="x-none" w:eastAsia="x-none" w:bidi="sa-IN"/>
    </w:rPr>
  </w:style>
  <w:style w:type="paragraph" w:styleId="ad">
    <w:name w:val="footer"/>
    <w:basedOn w:val="a"/>
    <w:link w:val="ae"/>
    <w:uiPriority w:val="99"/>
    <w:unhideWhenUsed/>
    <w:rsid w:val="001B1FD7"/>
    <w:pPr>
      <w:tabs>
        <w:tab w:val="center" w:pos="4677"/>
        <w:tab w:val="right" w:pos="9355"/>
      </w:tabs>
      <w:spacing w:after="0" w:line="240" w:lineRule="auto"/>
    </w:pPr>
    <w:rPr>
      <w:rFonts w:cs="Mangal"/>
      <w:sz w:val="20"/>
      <w:szCs w:val="20"/>
      <w:lang w:val="x-none" w:eastAsia="x-none" w:bidi="sa-IN"/>
    </w:rPr>
  </w:style>
  <w:style w:type="character" w:customStyle="1" w:styleId="ae">
    <w:name w:val="Нижний колонтитул Знак"/>
    <w:basedOn w:val="a0"/>
    <w:link w:val="ad"/>
    <w:uiPriority w:val="99"/>
    <w:rsid w:val="001B1FD7"/>
    <w:rPr>
      <w:rFonts w:ascii="Calibri" w:eastAsia="Calibri" w:hAnsi="Calibri" w:cs="Mangal"/>
      <w:sz w:val="20"/>
      <w:szCs w:val="20"/>
      <w:lang w:val="x-none" w:eastAsia="x-none" w:bidi="sa-IN"/>
    </w:rPr>
  </w:style>
  <w:style w:type="paragraph" w:styleId="af">
    <w:name w:val="List Paragraph"/>
    <w:basedOn w:val="a"/>
    <w:uiPriority w:val="34"/>
    <w:qFormat/>
    <w:rsid w:val="001B1FD7"/>
    <w:pPr>
      <w:ind w:left="720"/>
      <w:contextualSpacing/>
    </w:pPr>
  </w:style>
  <w:style w:type="paragraph" w:styleId="af0">
    <w:name w:val="Normal (Web)"/>
    <w:basedOn w:val="a"/>
    <w:uiPriority w:val="99"/>
    <w:unhideWhenUsed/>
    <w:rsid w:val="001B1FD7"/>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Hyperlink"/>
    <w:uiPriority w:val="99"/>
    <w:unhideWhenUsed/>
    <w:rsid w:val="001B1FD7"/>
    <w:rPr>
      <w:color w:val="0000FF"/>
      <w:u w:val="single"/>
    </w:rPr>
  </w:style>
  <w:style w:type="table" w:styleId="af2">
    <w:name w:val="Table Grid"/>
    <w:basedOn w:val="a1"/>
    <w:uiPriority w:val="59"/>
    <w:rsid w:val="001B1FD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annotation reference"/>
    <w:uiPriority w:val="99"/>
    <w:semiHidden/>
    <w:unhideWhenUsed/>
    <w:rsid w:val="001B1FD7"/>
    <w:rPr>
      <w:sz w:val="16"/>
      <w:szCs w:val="16"/>
    </w:rPr>
  </w:style>
  <w:style w:type="paragraph" w:styleId="af4">
    <w:name w:val="annotation text"/>
    <w:basedOn w:val="a"/>
    <w:link w:val="af5"/>
    <w:uiPriority w:val="99"/>
    <w:semiHidden/>
    <w:unhideWhenUsed/>
    <w:rsid w:val="001B1FD7"/>
    <w:pPr>
      <w:spacing w:line="240" w:lineRule="auto"/>
    </w:pPr>
    <w:rPr>
      <w:rFonts w:cs="Mangal"/>
      <w:sz w:val="20"/>
      <w:szCs w:val="20"/>
      <w:lang w:val="x-none" w:eastAsia="x-none" w:bidi="sa-IN"/>
    </w:rPr>
  </w:style>
  <w:style w:type="character" w:customStyle="1" w:styleId="af5">
    <w:name w:val="Текст примечания Знак"/>
    <w:basedOn w:val="a0"/>
    <w:link w:val="af4"/>
    <w:uiPriority w:val="99"/>
    <w:semiHidden/>
    <w:rsid w:val="001B1FD7"/>
    <w:rPr>
      <w:rFonts w:ascii="Calibri" w:eastAsia="Calibri" w:hAnsi="Calibri" w:cs="Mangal"/>
      <w:sz w:val="20"/>
      <w:szCs w:val="20"/>
      <w:lang w:val="x-none" w:eastAsia="x-none" w:bidi="sa-IN"/>
    </w:rPr>
  </w:style>
  <w:style w:type="paragraph" w:styleId="af6">
    <w:name w:val="annotation subject"/>
    <w:basedOn w:val="af4"/>
    <w:next w:val="af4"/>
    <w:link w:val="af7"/>
    <w:uiPriority w:val="99"/>
    <w:semiHidden/>
    <w:unhideWhenUsed/>
    <w:rsid w:val="001B1FD7"/>
    <w:rPr>
      <w:b/>
      <w:bCs/>
    </w:rPr>
  </w:style>
  <w:style w:type="character" w:customStyle="1" w:styleId="af7">
    <w:name w:val="Тема примечания Знак"/>
    <w:basedOn w:val="af5"/>
    <w:link w:val="af6"/>
    <w:uiPriority w:val="99"/>
    <w:semiHidden/>
    <w:rsid w:val="001B1FD7"/>
    <w:rPr>
      <w:rFonts w:ascii="Calibri" w:eastAsia="Calibri" w:hAnsi="Calibri" w:cs="Mangal"/>
      <w:b/>
      <w:bCs/>
      <w:sz w:val="20"/>
      <w:szCs w:val="20"/>
      <w:lang w:val="x-none" w:eastAsia="x-none" w:bidi="sa-IN"/>
    </w:rPr>
  </w:style>
  <w:style w:type="paragraph" w:styleId="af8">
    <w:name w:val="Revision"/>
    <w:hidden/>
    <w:uiPriority w:val="99"/>
    <w:semiHidden/>
    <w:rsid w:val="001B1FD7"/>
    <w:pPr>
      <w:spacing w:after="0" w:line="240" w:lineRule="auto"/>
    </w:pPr>
    <w:rPr>
      <w:rFonts w:ascii="Calibri" w:eastAsia="Calibri" w:hAnsi="Calibri" w:cs="Times New Roman"/>
    </w:rPr>
  </w:style>
  <w:style w:type="character" w:styleId="af9">
    <w:name w:val="Strong"/>
    <w:uiPriority w:val="22"/>
    <w:qFormat/>
    <w:rsid w:val="001B1FD7"/>
    <w:rPr>
      <w:b/>
      <w:bCs/>
    </w:rPr>
  </w:style>
  <w:style w:type="character" w:customStyle="1" w:styleId="afa">
    <w:name w:val="Текст концевой сноски Знак"/>
    <w:link w:val="afb"/>
    <w:uiPriority w:val="99"/>
    <w:semiHidden/>
    <w:rsid w:val="001B1FD7"/>
  </w:style>
  <w:style w:type="paragraph" w:styleId="afb">
    <w:name w:val="endnote text"/>
    <w:basedOn w:val="a"/>
    <w:link w:val="afa"/>
    <w:uiPriority w:val="99"/>
    <w:semiHidden/>
    <w:unhideWhenUsed/>
    <w:rsid w:val="001B1FD7"/>
    <w:pPr>
      <w:spacing w:after="0" w:line="240" w:lineRule="auto"/>
    </w:pPr>
    <w:rPr>
      <w:rFonts w:asciiTheme="minorHAnsi" w:eastAsiaTheme="minorHAnsi" w:hAnsiTheme="minorHAnsi" w:cstheme="minorBidi"/>
    </w:rPr>
  </w:style>
  <w:style w:type="character" w:customStyle="1" w:styleId="11">
    <w:name w:val="Текст концевой сноски Знак1"/>
    <w:basedOn w:val="a0"/>
    <w:uiPriority w:val="99"/>
    <w:semiHidden/>
    <w:rsid w:val="001B1FD7"/>
    <w:rPr>
      <w:rFonts w:ascii="Calibri" w:eastAsia="Calibri" w:hAnsi="Calibri" w:cs="Times New Roman"/>
      <w:sz w:val="20"/>
      <w:szCs w:val="20"/>
    </w:rPr>
  </w:style>
  <w:style w:type="paragraph" w:styleId="afc">
    <w:name w:val="No Spacing"/>
    <w:link w:val="afd"/>
    <w:uiPriority w:val="1"/>
    <w:qFormat/>
    <w:rsid w:val="001B1FD7"/>
    <w:pPr>
      <w:spacing w:after="0" w:line="240" w:lineRule="auto"/>
    </w:pPr>
    <w:rPr>
      <w:rFonts w:ascii="Calibri" w:eastAsia="Calibri" w:hAnsi="Calibri" w:cs="Times New Roman"/>
    </w:rPr>
  </w:style>
  <w:style w:type="character" w:styleId="afe">
    <w:name w:val="endnote reference"/>
    <w:uiPriority w:val="99"/>
    <w:semiHidden/>
    <w:unhideWhenUsed/>
    <w:rsid w:val="001B1FD7"/>
    <w:rPr>
      <w:vertAlign w:val="superscript"/>
    </w:rPr>
  </w:style>
  <w:style w:type="table" w:customStyle="1" w:styleId="12">
    <w:name w:val="Светлая заливка1"/>
    <w:basedOn w:val="a1"/>
    <w:uiPriority w:val="60"/>
    <w:rsid w:val="001B1FD7"/>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3">
    <w:name w:val="Medium Grid 1 Accent 3"/>
    <w:basedOn w:val="a1"/>
    <w:uiPriority w:val="67"/>
    <w:rsid w:val="001B1FD7"/>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3">
    <w:name w:val="Colorful Grid Accent 3"/>
    <w:basedOn w:val="a1"/>
    <w:uiPriority w:val="73"/>
    <w:rsid w:val="001B1FD7"/>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3">
    <w:name w:val="Medium Shading 2 Accent 3"/>
    <w:basedOn w:val="a1"/>
    <w:uiPriority w:val="64"/>
    <w:rsid w:val="001B1FD7"/>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
    <w:name w:val="Medium List 2 Accent 6"/>
    <w:basedOn w:val="a1"/>
    <w:uiPriority w:val="66"/>
    <w:rsid w:val="001B1FD7"/>
    <w:pPr>
      <w:spacing w:after="0" w:line="240" w:lineRule="auto"/>
    </w:pPr>
    <w:rPr>
      <w:rFonts w:ascii="Cambria" w:eastAsia="Times New Roman" w:hAnsi="Cambria"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
    <w:name w:val="Light Shading Accent 2"/>
    <w:basedOn w:val="a1"/>
    <w:uiPriority w:val="60"/>
    <w:rsid w:val="001B1FD7"/>
    <w:pPr>
      <w:spacing w:after="0" w:line="240" w:lineRule="auto"/>
    </w:pPr>
    <w:rPr>
      <w:rFonts w:ascii="Calibri" w:eastAsia="Calibri" w:hAnsi="Calibri"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1-2">
    <w:name w:val="Medium List 1 Accent 2"/>
    <w:basedOn w:val="a1"/>
    <w:uiPriority w:val="65"/>
    <w:rsid w:val="001B1FD7"/>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character" w:customStyle="1" w:styleId="s1">
    <w:name w:val="s1"/>
    <w:rsid w:val="001B1FD7"/>
    <w:rPr>
      <w:rFonts w:ascii="Times New Roman" w:hAnsi="Times New Roman" w:cs="Times New Roman" w:hint="default"/>
      <w:b/>
      <w:bCs/>
      <w:i w:val="0"/>
      <w:iCs w:val="0"/>
      <w:strike w:val="0"/>
      <w:dstrike w:val="0"/>
      <w:color w:val="000000"/>
      <w:sz w:val="36"/>
      <w:szCs w:val="36"/>
      <w:u w:val="none"/>
      <w:effect w:val="none"/>
    </w:rPr>
  </w:style>
  <w:style w:type="character" w:customStyle="1" w:styleId="s0">
    <w:name w:val="s0"/>
    <w:rsid w:val="001B1FD7"/>
    <w:rPr>
      <w:rFonts w:ascii="Times New Roman" w:hAnsi="Times New Roman" w:cs="Times New Roman" w:hint="default"/>
      <w:b w:val="0"/>
      <w:bCs w:val="0"/>
      <w:i w:val="0"/>
      <w:iCs w:val="0"/>
      <w:strike w:val="0"/>
      <w:dstrike w:val="0"/>
      <w:color w:val="000000"/>
      <w:sz w:val="36"/>
      <w:szCs w:val="36"/>
      <w:u w:val="none"/>
      <w:effect w:val="none"/>
    </w:rPr>
  </w:style>
  <w:style w:type="table" w:styleId="1-30">
    <w:name w:val="Medium Shading 1 Accent 3"/>
    <w:basedOn w:val="a1"/>
    <w:uiPriority w:val="63"/>
    <w:rsid w:val="001B1FD7"/>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6">
    <w:name w:val="Medium List 1 Accent 6"/>
    <w:basedOn w:val="a1"/>
    <w:uiPriority w:val="65"/>
    <w:rsid w:val="001B1FD7"/>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1-60">
    <w:name w:val="Medium Grid 1 Accent 6"/>
    <w:basedOn w:val="a1"/>
    <w:uiPriority w:val="67"/>
    <w:rsid w:val="001B1FD7"/>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1-4">
    <w:name w:val="Medium Grid 1 Accent 4"/>
    <w:basedOn w:val="a1"/>
    <w:uiPriority w:val="67"/>
    <w:rsid w:val="001B1FD7"/>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11">
    <w:name w:val="Средний список 1 - Акцент 11"/>
    <w:basedOn w:val="a1"/>
    <w:uiPriority w:val="65"/>
    <w:rsid w:val="001B1FD7"/>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
    <w:name w:val="Светлая заливка - Акцент 11"/>
    <w:basedOn w:val="a1"/>
    <w:uiPriority w:val="60"/>
    <w:rsid w:val="001B1FD7"/>
    <w:pPr>
      <w:spacing w:after="0" w:line="240" w:lineRule="auto"/>
    </w:pPr>
    <w:rPr>
      <w:rFonts w:ascii="Calibri" w:eastAsia="Calibri"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5">
    <w:name w:val="Light Shading Accent 5"/>
    <w:basedOn w:val="a1"/>
    <w:uiPriority w:val="60"/>
    <w:rsid w:val="001B1FD7"/>
    <w:pPr>
      <w:spacing w:after="0" w:line="240" w:lineRule="auto"/>
    </w:pPr>
    <w:rPr>
      <w:rFonts w:ascii="Calibri" w:eastAsia="Calibri" w:hAnsi="Calibri"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aff">
    <w:name w:val="Emphasis"/>
    <w:uiPriority w:val="20"/>
    <w:qFormat/>
    <w:rsid w:val="001B1FD7"/>
    <w:rPr>
      <w:i/>
      <w:iCs/>
    </w:rPr>
  </w:style>
  <w:style w:type="character" w:customStyle="1" w:styleId="apple-converted-space">
    <w:name w:val="apple-converted-space"/>
    <w:rsid w:val="001B1FD7"/>
  </w:style>
  <w:style w:type="character" w:styleId="aff0">
    <w:name w:val="FollowedHyperlink"/>
    <w:uiPriority w:val="99"/>
    <w:semiHidden/>
    <w:unhideWhenUsed/>
    <w:rsid w:val="001B1FD7"/>
    <w:rPr>
      <w:color w:val="800080"/>
      <w:u w:val="single"/>
    </w:rPr>
  </w:style>
  <w:style w:type="table" w:customStyle="1" w:styleId="-12">
    <w:name w:val="Светлая заливка - Акцент 12"/>
    <w:basedOn w:val="a1"/>
    <w:uiPriority w:val="60"/>
    <w:rsid w:val="001B1FD7"/>
    <w:pPr>
      <w:spacing w:after="0" w:line="240" w:lineRule="auto"/>
    </w:pPr>
    <w:rPr>
      <w:rFonts w:ascii="Calibri" w:eastAsia="Calibri"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
    <w:name w:val="Светлая сетка - Акцент 11"/>
    <w:basedOn w:val="a1"/>
    <w:uiPriority w:val="62"/>
    <w:rsid w:val="001B1FD7"/>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0">
    <w:name w:val="Light Grid Accent 2"/>
    <w:basedOn w:val="a1"/>
    <w:uiPriority w:val="62"/>
    <w:rsid w:val="001B1FD7"/>
    <w:pPr>
      <w:spacing w:after="0" w:line="240" w:lineRule="auto"/>
    </w:pPr>
    <w:rPr>
      <w:rFonts w:ascii="Calibri" w:eastAsia="Calibri" w:hAnsi="Calibri"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0">
    <w:name w:val="Light Grid Accent 3"/>
    <w:basedOn w:val="a1"/>
    <w:uiPriority w:val="62"/>
    <w:rsid w:val="001B1FD7"/>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21">
    <w:name w:val="Средний список 21"/>
    <w:basedOn w:val="a1"/>
    <w:uiPriority w:val="66"/>
    <w:rsid w:val="001B1FD7"/>
    <w:pPr>
      <w:spacing w:after="0" w:line="240" w:lineRule="auto"/>
    </w:pPr>
    <w:rPr>
      <w:rFonts w:ascii="Cambria" w:eastAsia="Times New Roman" w:hAnsi="Cambria"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6">
    <w:name w:val="Light Shading Accent 6"/>
    <w:basedOn w:val="a1"/>
    <w:uiPriority w:val="60"/>
    <w:rsid w:val="001B1FD7"/>
    <w:pPr>
      <w:spacing w:after="0" w:line="240" w:lineRule="auto"/>
    </w:pPr>
    <w:rPr>
      <w:rFonts w:ascii="Calibri" w:eastAsia="Calibri" w:hAnsi="Calibri" w:cs="Times New Roman"/>
      <w:color w:val="E36C0A"/>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60">
    <w:name w:val="Medium Shading 2 Accent 6"/>
    <w:basedOn w:val="a1"/>
    <w:uiPriority w:val="64"/>
    <w:rsid w:val="001B1FD7"/>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61">
    <w:name w:val="Medium Shading 1 Accent 6"/>
    <w:basedOn w:val="a1"/>
    <w:uiPriority w:val="63"/>
    <w:rsid w:val="001B1FD7"/>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60">
    <w:name w:val="Light Grid Accent 6"/>
    <w:basedOn w:val="a1"/>
    <w:uiPriority w:val="62"/>
    <w:rsid w:val="001B1FD7"/>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4">
    <w:name w:val="Light Grid Accent 4"/>
    <w:basedOn w:val="a1"/>
    <w:uiPriority w:val="62"/>
    <w:rsid w:val="001B1FD7"/>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2-4">
    <w:name w:val="Medium Shading 2 Accent 4"/>
    <w:basedOn w:val="a1"/>
    <w:uiPriority w:val="64"/>
    <w:rsid w:val="001B1FD7"/>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40">
    <w:name w:val="Medium Shading 1 Accent 4"/>
    <w:basedOn w:val="a1"/>
    <w:uiPriority w:val="63"/>
    <w:rsid w:val="001B1FD7"/>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40">
    <w:name w:val="Light List Accent 4"/>
    <w:basedOn w:val="a1"/>
    <w:uiPriority w:val="61"/>
    <w:rsid w:val="001B1FD7"/>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2-40">
    <w:name w:val="Medium List 2 Accent 4"/>
    <w:basedOn w:val="a1"/>
    <w:uiPriority w:val="66"/>
    <w:rsid w:val="001B1FD7"/>
    <w:pPr>
      <w:spacing w:after="0" w:line="240" w:lineRule="auto"/>
    </w:pPr>
    <w:rPr>
      <w:rFonts w:ascii="Cambria" w:eastAsia="Times New Roman" w:hAnsi="Cambria"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50">
    <w:name w:val="Light Grid Accent 5"/>
    <w:basedOn w:val="a1"/>
    <w:uiPriority w:val="62"/>
    <w:rsid w:val="001B1FD7"/>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2-1">
    <w:name w:val="Medium List 2 Accent 1"/>
    <w:basedOn w:val="a1"/>
    <w:uiPriority w:val="66"/>
    <w:rsid w:val="001B1FD7"/>
    <w:pPr>
      <w:spacing w:after="0" w:line="240" w:lineRule="auto"/>
    </w:pPr>
    <w:rPr>
      <w:rFonts w:ascii="Cambria" w:eastAsia="Times New Roman" w:hAnsi="Cambria"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41">
    <w:name w:val="Medium Grid 2 Accent 4"/>
    <w:basedOn w:val="a1"/>
    <w:uiPriority w:val="68"/>
    <w:rsid w:val="001B1FD7"/>
    <w:pPr>
      <w:spacing w:after="0" w:line="240" w:lineRule="auto"/>
    </w:pPr>
    <w:rPr>
      <w:rFonts w:ascii="Cambria" w:eastAsia="Times New Roman" w:hAnsi="Cambria"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10">
    <w:name w:val="Medium Grid 2 Accent 1"/>
    <w:basedOn w:val="a1"/>
    <w:uiPriority w:val="68"/>
    <w:rsid w:val="001B1FD7"/>
    <w:pPr>
      <w:spacing w:after="0" w:line="240" w:lineRule="auto"/>
    </w:pPr>
    <w:rPr>
      <w:rFonts w:ascii="Cambria" w:eastAsia="Times New Roman" w:hAnsi="Cambria"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41">
    <w:name w:val="Light Shading Accent 4"/>
    <w:basedOn w:val="a1"/>
    <w:uiPriority w:val="60"/>
    <w:rsid w:val="001B1FD7"/>
    <w:pPr>
      <w:spacing w:after="0" w:line="240" w:lineRule="auto"/>
    </w:pPr>
    <w:rPr>
      <w:rFonts w:ascii="Calibri" w:eastAsia="Calibri" w:hAnsi="Calibri"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aff1">
    <w:name w:val="Subtitle"/>
    <w:basedOn w:val="a"/>
    <w:next w:val="a"/>
    <w:link w:val="aff2"/>
    <w:uiPriority w:val="11"/>
    <w:qFormat/>
    <w:rsid w:val="001B1FD7"/>
    <w:pPr>
      <w:spacing w:after="60"/>
      <w:jc w:val="center"/>
      <w:outlineLvl w:val="1"/>
    </w:pPr>
    <w:rPr>
      <w:rFonts w:ascii="Cambria" w:eastAsia="Times New Roman" w:hAnsi="Cambria"/>
      <w:sz w:val="24"/>
      <w:szCs w:val="24"/>
    </w:rPr>
  </w:style>
  <w:style w:type="character" w:customStyle="1" w:styleId="aff2">
    <w:name w:val="Подзаголовок Знак"/>
    <w:basedOn w:val="a0"/>
    <w:link w:val="aff1"/>
    <w:uiPriority w:val="11"/>
    <w:rsid w:val="001B1FD7"/>
    <w:rPr>
      <w:rFonts w:ascii="Cambria" w:eastAsia="Times New Roman" w:hAnsi="Cambria" w:cs="Times New Roman"/>
      <w:sz w:val="24"/>
      <w:szCs w:val="24"/>
    </w:rPr>
  </w:style>
  <w:style w:type="paragraph" w:styleId="aff3">
    <w:name w:val="TOC Heading"/>
    <w:basedOn w:val="1"/>
    <w:next w:val="a"/>
    <w:uiPriority w:val="39"/>
    <w:unhideWhenUsed/>
    <w:qFormat/>
    <w:rsid w:val="001B1FD7"/>
    <w:pPr>
      <w:keepLines/>
      <w:spacing w:before="480" w:after="0"/>
      <w:outlineLvl w:val="9"/>
    </w:pPr>
    <w:rPr>
      <w:rFonts w:cs="Times New Roman"/>
      <w:color w:val="365F91"/>
      <w:kern w:val="0"/>
      <w:sz w:val="28"/>
      <w:szCs w:val="28"/>
      <w:lang w:val="ru-RU" w:eastAsia="ru-RU" w:bidi="ar-SA"/>
    </w:rPr>
  </w:style>
  <w:style w:type="paragraph" w:styleId="13">
    <w:name w:val="toc 1"/>
    <w:basedOn w:val="a"/>
    <w:next w:val="a"/>
    <w:autoRedefine/>
    <w:uiPriority w:val="39"/>
    <w:unhideWhenUsed/>
    <w:rsid w:val="001B1FD7"/>
  </w:style>
  <w:style w:type="paragraph" w:styleId="22">
    <w:name w:val="toc 2"/>
    <w:basedOn w:val="a"/>
    <w:next w:val="a"/>
    <w:autoRedefine/>
    <w:uiPriority w:val="39"/>
    <w:unhideWhenUsed/>
    <w:rsid w:val="001B1FD7"/>
    <w:pPr>
      <w:ind w:left="220"/>
    </w:pPr>
  </w:style>
  <w:style w:type="character" w:customStyle="1" w:styleId="afd">
    <w:name w:val="Без интервала Знак"/>
    <w:link w:val="afc"/>
    <w:uiPriority w:val="1"/>
    <w:rsid w:val="001B1FD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3.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696281714785652"/>
          <c:y val="5.0925925925925923E-2"/>
          <c:w val="0.67388190137737203"/>
          <c:h val="0.71756949056066788"/>
        </c:manualLayout>
      </c:layout>
      <c:barChart>
        <c:barDir val="bar"/>
        <c:grouping val="clustered"/>
        <c:varyColors val="0"/>
        <c:ser>
          <c:idx val="0"/>
          <c:order val="0"/>
          <c:tx>
            <c:strRef>
              <c:f>'[графики для краткого обзора за 1 кв. 2015_англ.xlsx]деп. база_по валютам'!$C$7</c:f>
              <c:strCache>
                <c:ptCount val="1"/>
                <c:pt idx="0">
                  <c:v>Tenge</c:v>
                </c:pt>
              </c:strCache>
            </c:strRef>
          </c:tx>
          <c:spPr>
            <a:solidFill>
              <a:srgbClr val="E12405"/>
            </a:solidFill>
          </c:spPr>
          <c:invertIfNegative val="0"/>
          <c:dLbls>
            <c:dLbl>
              <c:idx val="0"/>
              <c:layout>
                <c:manualLayout>
                  <c:x val="5.5555555555555558E-3"/>
                  <c:y val="-9.2596237970253726E-3"/>
                </c:manualLayout>
              </c:layout>
              <c:showLegendKey val="0"/>
              <c:showVal val="1"/>
              <c:showCatName val="0"/>
              <c:showSerName val="0"/>
              <c:showPercent val="0"/>
              <c:showBubbleSize val="0"/>
            </c:dLbl>
            <c:dLbl>
              <c:idx val="1"/>
              <c:layout>
                <c:manualLayout>
                  <c:x val="-0.15833333333333333"/>
                  <c:y val="3.2407407407407406E-2"/>
                </c:manualLayout>
              </c:layout>
              <c:showLegendKey val="0"/>
              <c:showVal val="1"/>
              <c:showCatName val="0"/>
              <c:showSerName val="0"/>
              <c:showPercent val="0"/>
              <c:showBubbleSize val="0"/>
            </c:dLbl>
            <c:dLbl>
              <c:idx val="2"/>
              <c:layout>
                <c:manualLayout>
                  <c:x val="0"/>
                  <c:y val="2.3148148148148147E-2"/>
                </c:manualLayout>
              </c:layout>
              <c:showLegendKey val="0"/>
              <c:showVal val="1"/>
              <c:showCatName val="0"/>
              <c:showSerName val="0"/>
              <c:showPercent val="0"/>
              <c:showBubbleSize val="0"/>
            </c:dLbl>
            <c:dLbl>
              <c:idx val="3"/>
              <c:layout>
                <c:manualLayout>
                  <c:x val="8.3331146106736653E-3"/>
                  <c:y val="2.3148148148148147E-2"/>
                </c:manualLayout>
              </c:layout>
              <c:showLegendKey val="0"/>
              <c:showVal val="1"/>
              <c:showCatName val="0"/>
              <c:showSerName val="0"/>
              <c:showPercent val="0"/>
              <c:showBubbleSize val="0"/>
            </c:dLbl>
            <c:dLbl>
              <c:idx val="4"/>
              <c:layout>
                <c:manualLayout>
                  <c:x val="5.5555555555555558E-3"/>
                  <c:y val="3.7037037037037035E-2"/>
                </c:manualLayout>
              </c:layout>
              <c:showLegendKey val="0"/>
              <c:showVal val="1"/>
              <c:showCatName val="0"/>
              <c:showSerName val="0"/>
              <c:showPercent val="0"/>
              <c:showBubbleSize val="0"/>
            </c:dLbl>
            <c:dLbl>
              <c:idx val="5"/>
              <c:layout>
                <c:manualLayout>
                  <c:x val="2.7777777777777779E-3"/>
                  <c:y val="2.7777777777777776E-2"/>
                </c:manualLayout>
              </c:layout>
              <c:showLegendKey val="0"/>
              <c:showVal val="1"/>
              <c:showCatName val="0"/>
              <c:showSerName val="0"/>
              <c:showPercent val="0"/>
              <c:showBubbleSize val="0"/>
            </c:dLbl>
            <c:txPr>
              <a:bodyPr/>
              <a:lstStyle/>
              <a:p>
                <a:pPr>
                  <a:defRPr b="1" i="1"/>
                </a:pPr>
                <a:endParaRPr lang="ru-RU"/>
              </a:p>
            </c:txPr>
            <c:showLegendKey val="0"/>
            <c:showVal val="1"/>
            <c:showCatName val="0"/>
            <c:showSerName val="0"/>
            <c:showPercent val="0"/>
            <c:showBubbleSize val="0"/>
            <c:showLeaderLines val="0"/>
          </c:dLbls>
          <c:cat>
            <c:numRef>
              <c:f>'[графики для краткого обзора за 1 кв. 2015_англ.xlsx]деп. база_по валютам'!$D$6:$I$6</c:f>
              <c:numCache>
                <c:formatCode>m/d/yyyy</c:formatCode>
                <c:ptCount val="6"/>
                <c:pt idx="0">
                  <c:v>41640</c:v>
                </c:pt>
                <c:pt idx="1">
                  <c:v>41730</c:v>
                </c:pt>
                <c:pt idx="2">
                  <c:v>41821</c:v>
                </c:pt>
                <c:pt idx="3">
                  <c:v>41913</c:v>
                </c:pt>
                <c:pt idx="4">
                  <c:v>42005</c:v>
                </c:pt>
                <c:pt idx="5">
                  <c:v>42095</c:v>
                </c:pt>
              </c:numCache>
            </c:numRef>
          </c:cat>
          <c:val>
            <c:numRef>
              <c:f>'[графики для краткого обзора за 1 кв. 2015_англ.xlsx]деп. база_по валютам'!$D$7:$I$7</c:f>
              <c:numCache>
                <c:formatCode>_-* #,##0_-;\-* #,##0_-;_-* "-"??_-;_-@_-</c:formatCode>
                <c:ptCount val="6"/>
                <c:pt idx="0">
                  <c:v>2208.1063730000001</c:v>
                </c:pt>
                <c:pt idx="1">
                  <c:v>1883.6155000000001</c:v>
                </c:pt>
                <c:pt idx="2">
                  <c:v>2026.810401</c:v>
                </c:pt>
                <c:pt idx="3">
                  <c:v>1960.77684</c:v>
                </c:pt>
                <c:pt idx="4">
                  <c:v>1442.8637180999999</c:v>
                </c:pt>
                <c:pt idx="5">
                  <c:v>1395.377575</c:v>
                </c:pt>
              </c:numCache>
            </c:numRef>
          </c:val>
        </c:ser>
        <c:ser>
          <c:idx val="1"/>
          <c:order val="1"/>
          <c:tx>
            <c:strRef>
              <c:f>'[графики для краткого обзора за 1 кв. 2015_англ.xlsx]деп. база_по валютам'!$C$8</c:f>
              <c:strCache>
                <c:ptCount val="1"/>
                <c:pt idx="0">
                  <c:v>foreign currency</c:v>
                </c:pt>
              </c:strCache>
            </c:strRef>
          </c:tx>
          <c:spPr>
            <a:solidFill>
              <a:schemeClr val="accent2">
                <a:lumMod val="40000"/>
                <a:lumOff val="60000"/>
              </a:schemeClr>
            </a:solidFill>
          </c:spPr>
          <c:invertIfNegative val="0"/>
          <c:dLbls>
            <c:showLegendKey val="0"/>
            <c:showVal val="1"/>
            <c:showCatName val="0"/>
            <c:showSerName val="0"/>
            <c:showPercent val="0"/>
            <c:showBubbleSize val="0"/>
            <c:showLeaderLines val="0"/>
          </c:dLbls>
          <c:cat>
            <c:numRef>
              <c:f>'[графики для краткого обзора за 1 кв. 2015_англ.xlsx]деп. база_по валютам'!$D$6:$I$6</c:f>
              <c:numCache>
                <c:formatCode>m/d/yyyy</c:formatCode>
                <c:ptCount val="6"/>
                <c:pt idx="0">
                  <c:v>41640</c:v>
                </c:pt>
                <c:pt idx="1">
                  <c:v>41730</c:v>
                </c:pt>
                <c:pt idx="2">
                  <c:v>41821</c:v>
                </c:pt>
                <c:pt idx="3">
                  <c:v>41913</c:v>
                </c:pt>
                <c:pt idx="4">
                  <c:v>42005</c:v>
                </c:pt>
                <c:pt idx="5">
                  <c:v>42095</c:v>
                </c:pt>
              </c:numCache>
            </c:numRef>
          </c:cat>
          <c:val>
            <c:numRef>
              <c:f>'[графики для краткого обзора за 1 кв. 2015_англ.xlsx]деп. база_по валютам'!$D$8:$I$8</c:f>
              <c:numCache>
                <c:formatCode>_-* #,##0_-;\-* #,##0_-;_-* "-"??_-;_-@_-</c:formatCode>
                <c:ptCount val="6"/>
                <c:pt idx="0">
                  <c:v>1737.3991619999999</c:v>
                </c:pt>
                <c:pt idx="1">
                  <c:v>2247.9752979999998</c:v>
                </c:pt>
                <c:pt idx="2">
                  <c:v>2337.8701639999999</c:v>
                </c:pt>
                <c:pt idx="3">
                  <c:v>2422.048726</c:v>
                </c:pt>
                <c:pt idx="4">
                  <c:v>2994.9015182300004</c:v>
                </c:pt>
                <c:pt idx="5">
                  <c:v>2902.260264</c:v>
                </c:pt>
              </c:numCache>
            </c:numRef>
          </c:val>
        </c:ser>
        <c:dLbls>
          <c:showLegendKey val="0"/>
          <c:showVal val="0"/>
          <c:showCatName val="0"/>
          <c:showSerName val="0"/>
          <c:showPercent val="0"/>
          <c:showBubbleSize val="0"/>
        </c:dLbls>
        <c:gapWidth val="0"/>
        <c:axId val="136386048"/>
        <c:axId val="136387968"/>
      </c:barChart>
      <c:dateAx>
        <c:axId val="136386048"/>
        <c:scaling>
          <c:orientation val="minMax"/>
        </c:scaling>
        <c:delete val="0"/>
        <c:axPos val="l"/>
        <c:numFmt formatCode="dd/mm/yy;@" sourceLinked="0"/>
        <c:majorTickMark val="out"/>
        <c:minorTickMark val="none"/>
        <c:tickLblPos val="nextTo"/>
        <c:txPr>
          <a:bodyPr/>
          <a:lstStyle/>
          <a:p>
            <a:pPr>
              <a:defRPr i="1"/>
            </a:pPr>
            <a:endParaRPr lang="ru-RU"/>
          </a:p>
        </c:txPr>
        <c:crossAx val="136387968"/>
        <c:crosses val="autoZero"/>
        <c:auto val="1"/>
        <c:lblOffset val="100"/>
        <c:baseTimeUnit val="months"/>
        <c:majorUnit val="3"/>
        <c:majorTimeUnit val="months"/>
        <c:minorUnit val="3"/>
        <c:minorTimeUnit val="months"/>
      </c:dateAx>
      <c:valAx>
        <c:axId val="136387968"/>
        <c:scaling>
          <c:orientation val="minMax"/>
          <c:max val="3000"/>
        </c:scaling>
        <c:delete val="0"/>
        <c:axPos val="b"/>
        <c:majorGridlines>
          <c:spPr>
            <a:ln w="3175">
              <a:solidFill>
                <a:schemeClr val="bg1">
                  <a:lumMod val="75000"/>
                </a:schemeClr>
              </a:solidFill>
              <a:prstDash val="dash"/>
            </a:ln>
          </c:spPr>
        </c:majorGridlines>
        <c:numFmt formatCode="_-* #,##0_-;\-* #,##0_-;_-* &quot;-&quot;??_-;_-@_-" sourceLinked="1"/>
        <c:majorTickMark val="out"/>
        <c:minorTickMark val="none"/>
        <c:tickLblPos val="nextTo"/>
        <c:txPr>
          <a:bodyPr/>
          <a:lstStyle/>
          <a:p>
            <a:pPr>
              <a:defRPr i="1"/>
            </a:pPr>
            <a:endParaRPr lang="ru-RU"/>
          </a:p>
        </c:txPr>
        <c:crossAx val="136386048"/>
        <c:crossesAt val="41640"/>
        <c:crossBetween val="between"/>
      </c:valAx>
    </c:plotArea>
    <c:legend>
      <c:legendPos val="b"/>
      <c:layout>
        <c:manualLayout>
          <c:xMode val="edge"/>
          <c:yMode val="edge"/>
          <c:x val="0.33412530220265391"/>
          <c:y val="0.9278631586714311"/>
          <c:w val="0.37614178870979131"/>
          <c:h val="7.0339332583427075E-2"/>
        </c:manualLayout>
      </c:layout>
      <c:overlay val="0"/>
      <c:txPr>
        <a:bodyPr/>
        <a:lstStyle/>
        <a:p>
          <a:pPr>
            <a:defRPr sz="700" i="1"/>
          </a:pPr>
          <a:endParaRPr lang="ru-RU"/>
        </a:p>
      </c:txPr>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696281714785652"/>
          <c:y val="5.0925925925925923E-2"/>
          <c:w val="0.77017474325776392"/>
          <c:h val="0.73617487432714979"/>
        </c:manualLayout>
      </c:layout>
      <c:barChart>
        <c:barDir val="bar"/>
        <c:grouping val="clustered"/>
        <c:varyColors val="0"/>
        <c:ser>
          <c:idx val="0"/>
          <c:order val="0"/>
          <c:tx>
            <c:strRef>
              <c:f>'[графики для краткого обзора за 1 кв. 2015_англ.xlsx]деп. база_по валютам'!$C$29</c:f>
              <c:strCache>
                <c:ptCount val="1"/>
                <c:pt idx="0">
                  <c:v>Tenge</c:v>
                </c:pt>
              </c:strCache>
            </c:strRef>
          </c:tx>
          <c:spPr>
            <a:solidFill>
              <a:srgbClr val="4D30FA"/>
            </a:solidFill>
          </c:spPr>
          <c:invertIfNegative val="0"/>
          <c:dLbls>
            <c:dLbl>
              <c:idx val="0"/>
              <c:layout>
                <c:manualLayout>
                  <c:x val="-2.777777777777676E-3"/>
                  <c:y val="-1.3889253426655002E-2"/>
                </c:manualLayout>
              </c:layout>
              <c:showLegendKey val="0"/>
              <c:showVal val="1"/>
              <c:showCatName val="0"/>
              <c:showSerName val="0"/>
              <c:showPercent val="0"/>
              <c:showBubbleSize val="0"/>
            </c:dLbl>
            <c:dLbl>
              <c:idx val="1"/>
              <c:layout>
                <c:manualLayout>
                  <c:x val="-0.15833333333333333"/>
                  <c:y val="3.2407407407407406E-2"/>
                </c:manualLayout>
              </c:layout>
              <c:showLegendKey val="0"/>
              <c:showVal val="1"/>
              <c:showCatName val="0"/>
              <c:showSerName val="0"/>
              <c:showPercent val="0"/>
              <c:showBubbleSize val="0"/>
            </c:dLbl>
            <c:dLbl>
              <c:idx val="2"/>
              <c:layout>
                <c:manualLayout>
                  <c:x val="0"/>
                  <c:y val="2.3148148148148147E-2"/>
                </c:manualLayout>
              </c:layout>
              <c:showLegendKey val="0"/>
              <c:showVal val="1"/>
              <c:showCatName val="0"/>
              <c:showSerName val="0"/>
              <c:showPercent val="0"/>
              <c:showBubbleSize val="0"/>
            </c:dLbl>
            <c:dLbl>
              <c:idx val="3"/>
              <c:layout>
                <c:manualLayout>
                  <c:x val="8.3331146106736653E-3"/>
                  <c:y val="2.3148148148148147E-2"/>
                </c:manualLayout>
              </c:layout>
              <c:showLegendKey val="0"/>
              <c:showVal val="1"/>
              <c:showCatName val="0"/>
              <c:showSerName val="0"/>
              <c:showPercent val="0"/>
              <c:showBubbleSize val="0"/>
            </c:dLbl>
            <c:dLbl>
              <c:idx val="4"/>
              <c:layout>
                <c:manualLayout>
                  <c:x val="5.5555555555555558E-3"/>
                  <c:y val="3.7037037037037035E-2"/>
                </c:manualLayout>
              </c:layout>
              <c:showLegendKey val="0"/>
              <c:showVal val="1"/>
              <c:showCatName val="0"/>
              <c:showSerName val="0"/>
              <c:showPercent val="0"/>
              <c:showBubbleSize val="0"/>
            </c:dLbl>
            <c:dLbl>
              <c:idx val="5"/>
              <c:layout>
                <c:manualLayout>
                  <c:x val="2.7777777777777779E-3"/>
                  <c:y val="2.7777777777777776E-2"/>
                </c:manualLayout>
              </c:layout>
              <c:showLegendKey val="0"/>
              <c:showVal val="1"/>
              <c:showCatName val="0"/>
              <c:showSerName val="0"/>
              <c:showPercent val="0"/>
              <c:showBubbleSize val="0"/>
            </c:dLbl>
            <c:txPr>
              <a:bodyPr/>
              <a:lstStyle/>
              <a:p>
                <a:pPr>
                  <a:defRPr sz="700" b="1" i="1"/>
                </a:pPr>
                <a:endParaRPr lang="ru-RU"/>
              </a:p>
            </c:txPr>
            <c:showLegendKey val="0"/>
            <c:showVal val="1"/>
            <c:showCatName val="0"/>
            <c:showSerName val="0"/>
            <c:showPercent val="0"/>
            <c:showBubbleSize val="0"/>
            <c:showLeaderLines val="0"/>
          </c:dLbls>
          <c:cat>
            <c:numRef>
              <c:f>'[графики для краткого обзора за 1 кв. 2015_англ.xlsx]деп. база_по валютам'!$D$28:$I$28</c:f>
              <c:numCache>
                <c:formatCode>m/d/yyyy</c:formatCode>
                <c:ptCount val="6"/>
                <c:pt idx="0">
                  <c:v>41640</c:v>
                </c:pt>
                <c:pt idx="1">
                  <c:v>41730</c:v>
                </c:pt>
                <c:pt idx="2">
                  <c:v>41821</c:v>
                </c:pt>
                <c:pt idx="3">
                  <c:v>41913</c:v>
                </c:pt>
                <c:pt idx="4">
                  <c:v>42005</c:v>
                </c:pt>
                <c:pt idx="5">
                  <c:v>42095</c:v>
                </c:pt>
              </c:numCache>
            </c:numRef>
          </c:cat>
          <c:val>
            <c:numRef>
              <c:f>'[графики для краткого обзора за 1 кв. 2015_англ.xlsx]деп. база_по валютам'!$D$29:$I$29</c:f>
              <c:numCache>
                <c:formatCode>0.0%</c:formatCode>
                <c:ptCount val="6"/>
                <c:pt idx="0">
                  <c:v>0.55965106458784886</c:v>
                </c:pt>
                <c:pt idx="1">
                  <c:v>0.45590562862900441</c:v>
                </c:pt>
                <c:pt idx="2">
                  <c:v>0.4643662625056274</c:v>
                </c:pt>
                <c:pt idx="3">
                  <c:v>0.44737733922399964</c:v>
                </c:pt>
                <c:pt idx="4">
                  <c:v>0.3251329534712471</c:v>
                </c:pt>
                <c:pt idx="5">
                  <c:v>0.32468477504951526</c:v>
                </c:pt>
              </c:numCache>
            </c:numRef>
          </c:val>
        </c:ser>
        <c:ser>
          <c:idx val="1"/>
          <c:order val="1"/>
          <c:tx>
            <c:strRef>
              <c:f>'[графики для краткого обзора за 1 кв. 2015_англ.xlsx]деп. база_по валютам'!$C$30</c:f>
              <c:strCache>
                <c:ptCount val="1"/>
                <c:pt idx="0">
                  <c:v>foreign currency</c:v>
                </c:pt>
              </c:strCache>
            </c:strRef>
          </c:tx>
          <c:spPr>
            <a:solidFill>
              <a:schemeClr val="tx2">
                <a:lumMod val="40000"/>
                <a:lumOff val="60000"/>
              </a:schemeClr>
            </a:solidFill>
          </c:spPr>
          <c:invertIfNegative val="0"/>
          <c:dLbls>
            <c:dLbl>
              <c:idx val="0"/>
              <c:layout>
                <c:manualLayout>
                  <c:x val="-1.5873015873015945E-2"/>
                  <c:y val="-2.1186440677966101E-2"/>
                </c:manualLayout>
              </c:layout>
              <c:showLegendKey val="0"/>
              <c:showVal val="1"/>
              <c:showCatName val="0"/>
              <c:showSerName val="0"/>
              <c:showPercent val="0"/>
              <c:showBubbleSize val="0"/>
            </c:dLbl>
            <c:dLbl>
              <c:idx val="4"/>
              <c:layout>
                <c:manualLayout>
                  <c:x val="-3.5714285714285712E-2"/>
                  <c:y val="0"/>
                </c:manualLayout>
              </c:layout>
              <c:showLegendKey val="0"/>
              <c:showVal val="1"/>
              <c:showCatName val="0"/>
              <c:showSerName val="0"/>
              <c:showPercent val="0"/>
              <c:showBubbleSize val="0"/>
            </c:dLbl>
            <c:dLbl>
              <c:idx val="5"/>
              <c:layout>
                <c:manualLayout>
                  <c:x val="-2.3809523809523808E-2"/>
                  <c:y val="0"/>
                </c:manualLayout>
              </c:layout>
              <c:showLegendKey val="0"/>
              <c:showVal val="1"/>
              <c:showCatName val="0"/>
              <c:showSerName val="0"/>
              <c:showPercent val="0"/>
              <c:showBubbleSize val="0"/>
            </c:dLbl>
            <c:txPr>
              <a:bodyPr/>
              <a:lstStyle/>
              <a:p>
                <a:pPr>
                  <a:defRPr sz="700" b="1" i="1"/>
                </a:pPr>
                <a:endParaRPr lang="ru-RU"/>
              </a:p>
            </c:txPr>
            <c:showLegendKey val="0"/>
            <c:showVal val="1"/>
            <c:showCatName val="0"/>
            <c:showSerName val="0"/>
            <c:showPercent val="0"/>
            <c:showBubbleSize val="0"/>
            <c:showLeaderLines val="0"/>
          </c:dLbls>
          <c:cat>
            <c:numRef>
              <c:f>'[графики для краткого обзора за 1 кв. 2015_англ.xlsx]деп. база_по валютам'!$D$28:$I$28</c:f>
              <c:numCache>
                <c:formatCode>m/d/yyyy</c:formatCode>
                <c:ptCount val="6"/>
                <c:pt idx="0">
                  <c:v>41640</c:v>
                </c:pt>
                <c:pt idx="1">
                  <c:v>41730</c:v>
                </c:pt>
                <c:pt idx="2">
                  <c:v>41821</c:v>
                </c:pt>
                <c:pt idx="3">
                  <c:v>41913</c:v>
                </c:pt>
                <c:pt idx="4">
                  <c:v>42005</c:v>
                </c:pt>
                <c:pt idx="5">
                  <c:v>42095</c:v>
                </c:pt>
              </c:numCache>
            </c:numRef>
          </c:cat>
          <c:val>
            <c:numRef>
              <c:f>'[графики для краткого обзора за 1 кв. 2015_англ.xlsx]деп. база_по валютам'!$D$30:$I$30</c:f>
              <c:numCache>
                <c:formatCode>0.0%</c:formatCode>
                <c:ptCount val="6"/>
                <c:pt idx="0">
                  <c:v>0.44034893541215114</c:v>
                </c:pt>
                <c:pt idx="1">
                  <c:v>0.54409437137099548</c:v>
                </c:pt>
                <c:pt idx="2">
                  <c:v>0.5356337374943726</c:v>
                </c:pt>
                <c:pt idx="3">
                  <c:v>0.55262266077600042</c:v>
                </c:pt>
                <c:pt idx="4">
                  <c:v>0.67486704652875285</c:v>
                </c:pt>
                <c:pt idx="5">
                  <c:v>0.67531522495048468</c:v>
                </c:pt>
              </c:numCache>
            </c:numRef>
          </c:val>
        </c:ser>
        <c:dLbls>
          <c:showLegendKey val="0"/>
          <c:showVal val="0"/>
          <c:showCatName val="0"/>
          <c:showSerName val="0"/>
          <c:showPercent val="0"/>
          <c:showBubbleSize val="0"/>
        </c:dLbls>
        <c:gapWidth val="0"/>
        <c:axId val="136282880"/>
        <c:axId val="136284416"/>
      </c:barChart>
      <c:dateAx>
        <c:axId val="136282880"/>
        <c:scaling>
          <c:orientation val="minMax"/>
        </c:scaling>
        <c:delete val="0"/>
        <c:axPos val="l"/>
        <c:numFmt formatCode="dd/mm/yy;@" sourceLinked="0"/>
        <c:majorTickMark val="out"/>
        <c:minorTickMark val="none"/>
        <c:tickLblPos val="nextTo"/>
        <c:txPr>
          <a:bodyPr/>
          <a:lstStyle/>
          <a:p>
            <a:pPr>
              <a:defRPr i="1"/>
            </a:pPr>
            <a:endParaRPr lang="ru-RU"/>
          </a:p>
        </c:txPr>
        <c:crossAx val="136284416"/>
        <c:crosses val="autoZero"/>
        <c:auto val="1"/>
        <c:lblOffset val="100"/>
        <c:baseTimeUnit val="months"/>
        <c:majorUnit val="3"/>
        <c:majorTimeUnit val="months"/>
        <c:minorUnit val="3"/>
        <c:minorTimeUnit val="months"/>
      </c:dateAx>
      <c:valAx>
        <c:axId val="136284416"/>
        <c:scaling>
          <c:orientation val="minMax"/>
          <c:max val="0.70000000000000007"/>
        </c:scaling>
        <c:delete val="0"/>
        <c:axPos val="b"/>
        <c:majorGridlines>
          <c:spPr>
            <a:ln w="3175">
              <a:solidFill>
                <a:schemeClr val="bg1">
                  <a:lumMod val="75000"/>
                </a:schemeClr>
              </a:solidFill>
              <a:prstDash val="dash"/>
            </a:ln>
          </c:spPr>
        </c:majorGridlines>
        <c:numFmt formatCode="0.0%" sourceLinked="1"/>
        <c:majorTickMark val="out"/>
        <c:minorTickMark val="none"/>
        <c:tickLblPos val="nextTo"/>
        <c:txPr>
          <a:bodyPr/>
          <a:lstStyle/>
          <a:p>
            <a:pPr>
              <a:defRPr i="1"/>
            </a:pPr>
            <a:endParaRPr lang="ru-RU"/>
          </a:p>
        </c:txPr>
        <c:crossAx val="136282880"/>
        <c:crossesAt val="41640"/>
        <c:crossBetween val="between"/>
      </c:valAx>
    </c:plotArea>
    <c:legend>
      <c:legendPos val="b"/>
      <c:layout>
        <c:manualLayout>
          <c:xMode val="edge"/>
          <c:yMode val="edge"/>
          <c:x val="0.35627167680872468"/>
          <c:y val="0.90135764812432018"/>
          <c:w val="0.38161478283949801"/>
          <c:h val="7.0148456188017835E-2"/>
        </c:manualLayout>
      </c:layout>
      <c:overlay val="0"/>
      <c:txPr>
        <a:bodyPr/>
        <a:lstStyle/>
        <a:p>
          <a:pPr>
            <a:defRPr sz="700" i="1"/>
          </a:pPr>
          <a:endParaRPr lang="ru-RU"/>
        </a:p>
      </c:txPr>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513238218524741E-2"/>
          <c:y val="4.3201017310085688E-2"/>
          <c:w val="0.51572349809443241"/>
          <c:h val="0.89504087031111823"/>
        </c:manualLayout>
      </c:layout>
      <c:pieChart>
        <c:varyColors val="1"/>
        <c:ser>
          <c:idx val="0"/>
          <c:order val="0"/>
          <c:spPr>
            <a:scene3d>
              <a:camera prst="orthographicFront"/>
              <a:lightRig rig="threePt" dir="t"/>
            </a:scene3d>
            <a:sp3d>
              <a:bevelT/>
            </a:sp3d>
          </c:spPr>
          <c:explosion val="9"/>
          <c:dPt>
            <c:idx val="0"/>
            <c:bubble3D val="0"/>
            <c:spPr>
              <a:solidFill>
                <a:srgbClr val="0070C0"/>
              </a:solidFill>
              <a:scene3d>
                <a:camera prst="orthographicFront"/>
                <a:lightRig rig="threePt" dir="t"/>
              </a:scene3d>
              <a:sp3d>
                <a:bevelT/>
              </a:sp3d>
            </c:spPr>
          </c:dPt>
          <c:dPt>
            <c:idx val="1"/>
            <c:bubble3D val="0"/>
            <c:spPr>
              <a:solidFill>
                <a:srgbClr val="7030A0"/>
              </a:solidFill>
              <a:scene3d>
                <a:camera prst="orthographicFront"/>
                <a:lightRig rig="threePt" dir="t"/>
              </a:scene3d>
              <a:sp3d>
                <a:bevelT/>
              </a:sp3d>
            </c:spPr>
          </c:dPt>
          <c:dPt>
            <c:idx val="2"/>
            <c:bubble3D val="0"/>
            <c:spPr>
              <a:solidFill>
                <a:srgbClr val="FF0000"/>
              </a:solidFill>
              <a:scene3d>
                <a:camera prst="orthographicFront"/>
                <a:lightRig rig="threePt" dir="t"/>
              </a:scene3d>
              <a:sp3d>
                <a:bevelT/>
              </a:sp3d>
            </c:spPr>
          </c:dPt>
          <c:dPt>
            <c:idx val="3"/>
            <c:bubble3D val="0"/>
            <c:spPr>
              <a:solidFill>
                <a:srgbClr val="00B050"/>
              </a:solidFill>
              <a:scene3d>
                <a:camera prst="orthographicFront"/>
                <a:lightRig rig="threePt" dir="t"/>
              </a:scene3d>
              <a:sp3d>
                <a:bevelT/>
              </a:sp3d>
            </c:spPr>
          </c:dPt>
          <c:dPt>
            <c:idx val="4"/>
            <c:bubble3D val="0"/>
            <c:spPr>
              <a:solidFill>
                <a:srgbClr val="FFFF00"/>
              </a:solidFill>
              <a:scene3d>
                <a:camera prst="orthographicFront"/>
                <a:lightRig rig="threePt" dir="t"/>
              </a:scene3d>
              <a:sp3d>
                <a:bevelT/>
              </a:sp3d>
            </c:spPr>
          </c:dPt>
          <c:dPt>
            <c:idx val="5"/>
            <c:bubble3D val="0"/>
            <c:spPr>
              <a:solidFill>
                <a:schemeClr val="bg1">
                  <a:lumMod val="50000"/>
                </a:schemeClr>
              </a:solidFill>
              <a:scene3d>
                <a:camera prst="orthographicFront"/>
                <a:lightRig rig="threePt" dir="t"/>
              </a:scene3d>
              <a:sp3d>
                <a:bevelT/>
              </a:sp3d>
            </c:spPr>
          </c:dPt>
          <c:dLbls>
            <c:dLbl>
              <c:idx val="0"/>
              <c:layout>
                <c:manualLayout>
                  <c:x val="-0.13249394551994434"/>
                  <c:y val="0.11723611764826895"/>
                </c:manualLayout>
              </c:layout>
              <c:spPr/>
              <c:txPr>
                <a:bodyPr/>
                <a:lstStyle/>
                <a:p>
                  <a:pPr>
                    <a:defRPr sz="900" b="1" i="1">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dLbl>
            <c:dLbl>
              <c:idx val="1"/>
              <c:layout>
                <c:manualLayout>
                  <c:x val="-0.10970708317531958"/>
                  <c:y val="-9.1893328307440236E-2"/>
                </c:manualLayout>
              </c:layout>
              <c:spPr/>
              <c:txPr>
                <a:bodyPr/>
                <a:lstStyle/>
                <a:p>
                  <a:pPr>
                    <a:defRPr sz="900" b="1" i="1">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dLbl>
            <c:dLbl>
              <c:idx val="2"/>
              <c:layout>
                <c:manualLayout>
                  <c:x val="4.487347650683135E-2"/>
                  <c:y val="1.1501585236367145E-2"/>
                </c:manualLayout>
              </c:layout>
              <c:showLegendKey val="0"/>
              <c:showVal val="1"/>
              <c:showCatName val="0"/>
              <c:showSerName val="0"/>
              <c:showPercent val="0"/>
              <c:showBubbleSize val="0"/>
            </c:dLbl>
            <c:dLbl>
              <c:idx val="3"/>
              <c:layout>
                <c:manualLayout>
                  <c:x val="0.18545887935409072"/>
                  <c:y val="-0.13359921463199234"/>
                </c:manualLayout>
              </c:layout>
              <c:showLegendKey val="0"/>
              <c:showVal val="1"/>
              <c:showCatName val="0"/>
              <c:showSerName val="0"/>
              <c:showPercent val="0"/>
              <c:showBubbleSize val="0"/>
            </c:dLbl>
            <c:dLbl>
              <c:idx val="4"/>
              <c:layout>
                <c:manualLayout>
                  <c:x val="-1.8922199038651543E-3"/>
                  <c:y val="3.5387775453783646E-2"/>
                </c:manualLayout>
              </c:layout>
              <c:showLegendKey val="0"/>
              <c:showVal val="1"/>
              <c:showCatName val="0"/>
              <c:showSerName val="0"/>
              <c:showPercent val="0"/>
              <c:showBubbleSize val="0"/>
            </c:dLbl>
            <c:dLbl>
              <c:idx val="5"/>
              <c:layout>
                <c:manualLayout>
                  <c:x val="8.0859976220264848E-2"/>
                  <c:y val="0.160111522834777"/>
                </c:manualLayout>
              </c:layout>
              <c:spPr/>
              <c:txPr>
                <a:bodyPr/>
                <a:lstStyle/>
                <a:p>
                  <a:pPr>
                    <a:defRPr sz="900" b="1" i="1">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dLbl>
            <c:txPr>
              <a:bodyPr/>
              <a:lstStyle/>
              <a:p>
                <a:pPr>
                  <a:defRPr sz="900" b="1" i="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'[графики для краткого обзора за 1 кв. 2015_англ.xlsx]свод 4,1 кв'!$B$62:$B$67</c:f>
              <c:strCache>
                <c:ptCount val="6"/>
                <c:pt idx="0">
                  <c:v>Term and conditional deposits up to T5 mln.</c:v>
                </c:pt>
                <c:pt idx="1">
                  <c:v>Term and conditional deposits  from T5 mln. to T10 mln.</c:v>
                </c:pt>
                <c:pt idx="2">
                  <c:v>Term and conditional deposits  from T10 mln. to T15 mln.</c:v>
                </c:pt>
                <c:pt idx="3">
                  <c:v>Term and conditional deposits over T15 mln.</c:v>
                </c:pt>
                <c:pt idx="4">
                  <c:v>Call deposits</c:v>
                </c:pt>
                <c:pt idx="5">
                  <c:v>Current and card accounts balances</c:v>
                </c:pt>
              </c:strCache>
            </c:strRef>
          </c:cat>
          <c:val>
            <c:numRef>
              <c:f>'[графики для краткого обзора за 1 кв. 2015_англ.xlsx]свод 4,1 кв'!$C$62:$C$67</c:f>
              <c:numCache>
                <c:formatCode>0.0%</c:formatCode>
                <c:ptCount val="6"/>
                <c:pt idx="0">
                  <c:v>0.30347535363833156</c:v>
                </c:pt>
                <c:pt idx="1">
                  <c:v>9.1316541249394007E-2</c:v>
                </c:pt>
                <c:pt idx="2">
                  <c:v>3.5455105969435317E-2</c:v>
                </c:pt>
                <c:pt idx="3">
                  <c:v>0.46453731603045856</c:v>
                </c:pt>
                <c:pt idx="4">
                  <c:v>3.2197336114342602E-3</c:v>
                </c:pt>
                <c:pt idx="5">
                  <c:v>0.1019959495009463</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9045856097013716"/>
          <c:y val="7.3333737022708831E-2"/>
          <c:w val="0.38680045709992017"/>
          <c:h val="0.92666626898910365"/>
        </c:manualLayout>
      </c:layout>
      <c:overlay val="0"/>
      <c:txPr>
        <a:bodyPr/>
        <a:lstStyle/>
        <a:p>
          <a:pPr>
            <a:defRPr sz="800" i="1">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8378A-75A0-44EB-A9E8-2881EF0A0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4</Pages>
  <Words>1228</Words>
  <Characters>7003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Nazym</dc:creator>
  <cp:keywords/>
  <dc:description/>
  <cp:lastModifiedBy>Nazym</cp:lastModifiedBy>
  <cp:revision>58</cp:revision>
  <dcterms:created xsi:type="dcterms:W3CDTF">2015-05-25T09:19:00Z</dcterms:created>
  <dcterms:modified xsi:type="dcterms:W3CDTF">2015-06-02T06:40:00Z</dcterms:modified>
</cp:coreProperties>
</file>