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5721334"/>
        <w:docPartObj>
          <w:docPartGallery w:val="Cover Pages"/>
          <w:docPartUnique/>
        </w:docPartObj>
      </w:sdtPr>
      <w:sdtEndPr/>
      <w:sdtContent>
        <w:p w:rsidR="00BC26DC" w:rsidRPr="004F6647" w:rsidRDefault="00BC26DC" w:rsidP="004F6647">
          <w:pPr>
            <w:rPr>
              <w:lang w:val="en-US"/>
            </w:rPr>
          </w:pPr>
        </w:p>
        <w:p w:rsidR="00BC26DC" w:rsidRPr="00BC26DC" w:rsidRDefault="00BC26DC" w:rsidP="00BC26DC">
          <w:pPr>
            <w:jc w:val="center"/>
            <w:outlineLvl w:val="0"/>
            <w:rPr>
              <w:rFonts w:ascii="Times New Roman" w:eastAsia="Calibri" w:hAnsi="Times New Roman" w:cs="Times New Roman"/>
              <w:b/>
              <w:caps/>
              <w:spacing w:val="20"/>
              <w:lang w:val="en-US" w:eastAsia="it-IT"/>
            </w:rPr>
          </w:pPr>
          <w:r w:rsidRPr="00BC26DC">
            <w:rPr>
              <w:rFonts w:ascii="Times New Roman" w:eastAsia="Calibri" w:hAnsi="Times New Roman" w:cs="Times New Roman"/>
              <w:b/>
              <w:caps/>
              <w:spacing w:val="20"/>
              <w:lang w:val="en-US" w:eastAsia="it-IT"/>
            </w:rPr>
            <w:t>JSC “kazakhstan deposit insurance fund”</w:t>
          </w:r>
        </w:p>
        <w:p w:rsidR="00BC26DC" w:rsidRPr="00BC26DC" w:rsidRDefault="00BC26DC" w:rsidP="00BC26DC">
          <w:pPr>
            <w:jc w:val="center"/>
            <w:outlineLvl w:val="0"/>
            <w:rPr>
              <w:rFonts w:ascii="Times New Roman" w:eastAsia="Calibri" w:hAnsi="Times New Roman" w:cs="Times New Roman"/>
              <w:b/>
              <w:spacing w:val="20"/>
              <w:lang w:val="en-US" w:eastAsia="it-IT"/>
            </w:rPr>
          </w:pPr>
        </w:p>
        <w:p w:rsidR="00BC26DC" w:rsidRPr="00BC26DC" w:rsidRDefault="00BC26DC" w:rsidP="00BC26DC">
          <w:pPr>
            <w:jc w:val="center"/>
            <w:outlineLvl w:val="0"/>
            <w:rPr>
              <w:rFonts w:ascii="Times New Roman" w:eastAsia="Calibri" w:hAnsi="Times New Roman" w:cs="Times New Roman"/>
              <w:b/>
              <w:i/>
              <w:spacing w:val="20"/>
              <w:lang w:val="en-US" w:eastAsia="it-IT"/>
            </w:rPr>
          </w:pPr>
          <w:r w:rsidRPr="00BC26DC">
            <w:rPr>
              <w:rFonts w:ascii="Times New Roman" w:eastAsia="Calibri" w:hAnsi="Times New Roman" w:cs="Times New Roman"/>
              <w:b/>
              <w:i/>
              <w:spacing w:val="20"/>
              <w:lang w:val="en-US" w:eastAsia="it-IT"/>
            </w:rPr>
            <w:t>Methodology and Calculation of Differential Premium Rates Department</w:t>
          </w: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jc w:val="center"/>
            <w:outlineLvl w:val="0"/>
            <w:rPr>
              <w:rFonts w:ascii="Times New Roman" w:eastAsia="Calibri" w:hAnsi="Times New Roman" w:cs="Times New Roman"/>
              <w:b/>
              <w:spacing w:val="20"/>
              <w:sz w:val="28"/>
              <w:szCs w:val="28"/>
              <w:lang w:val="en-US" w:eastAsia="it-IT"/>
            </w:rPr>
          </w:pPr>
        </w:p>
        <w:p w:rsidR="00BC26DC" w:rsidRPr="00BC26DC" w:rsidRDefault="00BC26DC" w:rsidP="00BC26DC">
          <w:pPr>
            <w:spacing w:after="240"/>
            <w:jc w:val="center"/>
            <w:outlineLvl w:val="0"/>
            <w:rPr>
              <w:rFonts w:ascii="Times New Roman" w:eastAsia="Calibri" w:hAnsi="Times New Roman" w:cs="Times New Roman"/>
              <w:b/>
              <w:spacing w:val="20"/>
              <w:sz w:val="30"/>
              <w:szCs w:val="30"/>
              <w:lang w:val="en-US" w:eastAsia="it-IT"/>
            </w:rPr>
          </w:pPr>
          <w:r w:rsidRPr="00BC26DC">
            <w:rPr>
              <w:rFonts w:ascii="Times New Roman" w:eastAsia="Calibri" w:hAnsi="Times New Roman" w:cs="Times New Roman"/>
              <w:b/>
              <w:spacing w:val="20"/>
              <w:sz w:val="30"/>
              <w:szCs w:val="30"/>
              <w:lang w:val="en-US" w:eastAsia="it-IT"/>
            </w:rPr>
            <w:t>OVERVIEW OF THE RETAIL DEPOSITS MARKET</w:t>
          </w:r>
        </w:p>
        <w:p w:rsidR="00BC26DC" w:rsidRPr="00BC26DC" w:rsidRDefault="00BC26DC" w:rsidP="00BC26DC">
          <w:pPr>
            <w:spacing w:after="60"/>
            <w:ind w:left="142"/>
            <w:jc w:val="center"/>
            <w:rPr>
              <w:rFonts w:ascii="Times New Roman" w:eastAsia="Calibri" w:hAnsi="Times New Roman" w:cs="Times New Roman"/>
              <w:sz w:val="24"/>
              <w:szCs w:val="24"/>
              <w:highlight w:val="yellow"/>
              <w:lang w:val="en-US" w:eastAsia="ru-RU"/>
            </w:rPr>
          </w:pPr>
          <w:r>
            <w:rPr>
              <w:rFonts w:ascii="Times New Roman" w:eastAsia="Calibri" w:hAnsi="Times New Roman" w:cs="Times New Roman"/>
              <w:b/>
              <w:i/>
              <w:spacing w:val="20"/>
              <w:sz w:val="30"/>
              <w:szCs w:val="30"/>
              <w:lang w:val="en-US" w:eastAsia="it-IT"/>
            </w:rPr>
            <w:t>Over the 2</w:t>
          </w:r>
          <w:r w:rsidRPr="00BC26DC">
            <w:rPr>
              <w:rFonts w:ascii="Times New Roman" w:eastAsia="Calibri" w:hAnsi="Times New Roman" w:cs="Times New Roman"/>
              <w:b/>
              <w:i/>
              <w:spacing w:val="20"/>
              <w:sz w:val="30"/>
              <w:szCs w:val="30"/>
              <w:vertAlign w:val="superscript"/>
              <w:lang w:val="en-US" w:eastAsia="it-IT"/>
            </w:rPr>
            <w:t>nd</w:t>
          </w:r>
          <w:r>
            <w:rPr>
              <w:rFonts w:ascii="Times New Roman" w:eastAsia="Calibri" w:hAnsi="Times New Roman" w:cs="Times New Roman"/>
              <w:b/>
              <w:i/>
              <w:spacing w:val="20"/>
              <w:sz w:val="30"/>
              <w:szCs w:val="30"/>
              <w:lang w:val="en-US" w:eastAsia="it-IT"/>
            </w:rPr>
            <w:t xml:space="preserve"> </w:t>
          </w:r>
          <w:r w:rsidRPr="00BC26DC">
            <w:rPr>
              <w:rFonts w:ascii="Times New Roman" w:eastAsia="Calibri" w:hAnsi="Times New Roman" w:cs="Times New Roman"/>
              <w:b/>
              <w:i/>
              <w:spacing w:val="20"/>
              <w:sz w:val="30"/>
              <w:szCs w:val="30"/>
              <w:lang w:val="en-US" w:eastAsia="it-IT"/>
            </w:rPr>
            <w:t>quarter of 2014</w:t>
          </w:r>
        </w:p>
        <w:p w:rsidR="005A63A3" w:rsidRPr="00BC26DC" w:rsidRDefault="005A63A3">
          <w:pPr>
            <w:rPr>
              <w:lang w:val="en-US"/>
            </w:rPr>
          </w:pPr>
        </w:p>
        <w:p w:rsidR="005A63A3" w:rsidRDefault="005A63A3">
          <w:r w:rsidRPr="00BC26DC">
            <w:rPr>
              <w:lang w:val="en-US"/>
            </w:rPr>
            <w:br w:type="page"/>
          </w:r>
        </w:p>
      </w:sdtContent>
    </w:sdt>
    <w:p w:rsidR="005A63A3" w:rsidRPr="00BC26DC" w:rsidRDefault="00BC26DC" w:rsidP="00BC26DC">
      <w:pPr>
        <w:spacing w:before="120" w:after="120" w:line="21" w:lineRule="atLeast"/>
        <w:ind w:firstLine="567"/>
        <w:jc w:val="center"/>
        <w:rPr>
          <w:rFonts w:ascii="Times New Roman" w:eastAsia="Times New Roman" w:hAnsi="Times New Roman" w:cs="Garamond"/>
          <w:b/>
          <w:sz w:val="24"/>
          <w:szCs w:val="24"/>
          <w:lang w:val="en-US" w:eastAsia="it-IT"/>
          <w14:shadow w14:blurRad="50800" w14:dist="38100" w14:dir="2700000" w14:sx="100000" w14:sy="100000" w14:kx="0" w14:ky="0" w14:algn="tl">
            <w14:srgbClr w14:val="000000">
              <w14:alpha w14:val="60000"/>
            </w14:srgbClr>
          </w14:shadow>
        </w:rPr>
      </w:pPr>
      <w:r w:rsidRPr="00BC26DC">
        <w:rPr>
          <w:rFonts w:ascii="Times New Roman" w:eastAsia="Times New Roman" w:hAnsi="Times New Roman" w:cs="Garamond"/>
          <w:b/>
          <w:sz w:val="24"/>
          <w:szCs w:val="24"/>
          <w:lang w:val="en-US" w:eastAsia="it-IT"/>
          <w14:shadow w14:blurRad="50800" w14:dist="38100" w14:dir="2700000" w14:sx="100000" w14:sy="100000" w14:kx="0" w14:ky="0" w14:algn="tl">
            <w14:srgbClr w14:val="000000">
              <w14:alpha w14:val="60000"/>
            </w14:srgbClr>
          </w14:shadow>
        </w:rPr>
        <w:lastRenderedPageBreak/>
        <w:t>Overview of the individuals’ deposit market trends</w:t>
      </w:r>
    </w:p>
    <w:p w:rsidR="00257104" w:rsidRDefault="00A94C72" w:rsidP="005A63A3">
      <w:pPr>
        <w:spacing w:after="0"/>
        <w:ind w:firstLine="567"/>
        <w:jc w:val="both"/>
        <w:rPr>
          <w:rFonts w:ascii="Times New Roman" w:eastAsia="Times New Roman" w:hAnsi="Times New Roman" w:cs="Times New Roman"/>
          <w:sz w:val="24"/>
          <w:szCs w:val="24"/>
          <w:lang w:val="en-US" w:eastAsia="it-IT"/>
        </w:rPr>
      </w:pPr>
      <w:r w:rsidRPr="00A94C72">
        <w:rPr>
          <w:rFonts w:ascii="Times New Roman" w:eastAsia="Times New Roman" w:hAnsi="Times New Roman" w:cs="Times New Roman"/>
          <w:sz w:val="24"/>
          <w:szCs w:val="24"/>
          <w:lang w:val="en-US" w:eastAsia="it-IT"/>
        </w:rPr>
        <w:t xml:space="preserve">As of July 1, 2014 deposits of individuals in DIS member-banks reached T4.4 trillion, and the deposit base growth over the 2nd quarter was T233.1 billion, or 5.6%. The deposit base in tenge increased by 7.1% and in foreign currency by 3.8%, thus the share of deposits in national currency represented 46.4%, in foreign currency – 53.6% </w:t>
      </w:r>
      <w:r w:rsidRPr="00B14091">
        <w:rPr>
          <w:rFonts w:ascii="Times New Roman" w:eastAsia="Times New Roman" w:hAnsi="Times New Roman" w:cs="Times New Roman"/>
          <w:i/>
          <w:sz w:val="24"/>
          <w:szCs w:val="24"/>
          <w:lang w:val="en-US" w:eastAsia="it-IT"/>
        </w:rPr>
        <w:t>(see Figure 1)</w:t>
      </w:r>
      <w:r w:rsidRPr="00A94C72">
        <w:rPr>
          <w:rFonts w:ascii="Times New Roman" w:eastAsia="Times New Roman" w:hAnsi="Times New Roman" w:cs="Times New Roman"/>
          <w:sz w:val="24"/>
          <w:szCs w:val="24"/>
          <w:lang w:val="en-US" w:eastAsia="it-IT"/>
        </w:rPr>
        <w:t>.</w:t>
      </w:r>
    </w:p>
    <w:p w:rsidR="00A94C72" w:rsidRPr="00A94C72" w:rsidRDefault="00A94C72" w:rsidP="005A63A3">
      <w:pPr>
        <w:spacing w:after="0"/>
        <w:ind w:firstLine="567"/>
        <w:jc w:val="both"/>
        <w:rPr>
          <w:rFonts w:ascii="Times New Roman" w:eastAsia="Times New Roman" w:hAnsi="Times New Roman" w:cs="Times New Roman"/>
          <w:sz w:val="24"/>
          <w:szCs w:val="24"/>
          <w:lang w:val="en-US" w:eastAsia="it-IT"/>
        </w:rPr>
      </w:pPr>
    </w:p>
    <w:p w:rsidR="00257104" w:rsidRPr="00257104" w:rsidRDefault="00257104" w:rsidP="00257104">
      <w:pPr>
        <w:spacing w:after="0"/>
        <w:jc w:val="both"/>
        <w:rPr>
          <w:rFonts w:ascii="Times New Roman" w:eastAsia="Times New Roman" w:hAnsi="Times New Roman" w:cs="Times New Roman"/>
          <w:b/>
          <w:i/>
          <w:szCs w:val="20"/>
          <w:lang w:val="en-US" w:eastAsia="ru-RU"/>
        </w:rPr>
      </w:pPr>
      <w:proofErr w:type="gramStart"/>
      <w:r w:rsidRPr="00257104">
        <w:rPr>
          <w:rFonts w:ascii="Times New Roman" w:eastAsia="Times New Roman" w:hAnsi="Times New Roman" w:cs="Times New Roman"/>
          <w:b/>
          <w:i/>
          <w:szCs w:val="20"/>
          <w:lang w:val="en-US" w:eastAsia="ru-RU"/>
        </w:rPr>
        <w:t>Figure</w:t>
      </w:r>
      <w:r w:rsidRPr="00257104">
        <w:rPr>
          <w:rFonts w:ascii="Times New Roman" w:eastAsia="Times New Roman" w:hAnsi="Times New Roman" w:cs="Times New Roman"/>
          <w:b/>
          <w:i/>
          <w:szCs w:val="20"/>
          <w:lang w:val="kk-KZ" w:eastAsia="ru-RU"/>
        </w:rPr>
        <w:t xml:space="preserve"> 1.</w:t>
      </w:r>
      <w:proofErr w:type="gramEnd"/>
      <w:r w:rsidRPr="00257104">
        <w:rPr>
          <w:rFonts w:ascii="Times New Roman" w:eastAsia="Times New Roman" w:hAnsi="Times New Roman" w:cs="Times New Roman"/>
          <w:b/>
          <w:i/>
          <w:szCs w:val="20"/>
          <w:lang w:val="kk-KZ" w:eastAsia="ru-RU"/>
        </w:rPr>
        <w:t xml:space="preserve"> </w:t>
      </w:r>
      <w:r w:rsidRPr="00257104">
        <w:rPr>
          <w:rFonts w:ascii="Times New Roman" w:eastAsia="Times New Roman" w:hAnsi="Times New Roman" w:cs="Times New Roman"/>
          <w:b/>
          <w:i/>
          <w:szCs w:val="20"/>
          <w:lang w:val="en-US" w:eastAsia="ru-RU"/>
        </w:rPr>
        <w:t xml:space="preserve">Quarterly dynamics of retail deposits amount in national and foreign currencies </w:t>
      </w:r>
      <w:r w:rsidRPr="00257104">
        <w:rPr>
          <w:rFonts w:ascii="Times New Roman" w:eastAsia="Times New Roman" w:hAnsi="Times New Roman" w:cs="Times New Roman"/>
          <w:b/>
          <w:i/>
          <w:szCs w:val="20"/>
          <w:lang w:val="kk-KZ" w:eastAsia="ru-RU"/>
        </w:rPr>
        <w:t>(</w:t>
      </w:r>
      <w:r w:rsidRPr="00257104">
        <w:rPr>
          <w:rFonts w:ascii="Times New Roman" w:eastAsia="Times New Roman" w:hAnsi="Times New Roman" w:cs="Times New Roman"/>
          <w:b/>
          <w:i/>
          <w:szCs w:val="20"/>
          <w:lang w:val="en-US" w:eastAsia="ru-RU"/>
        </w:rPr>
        <w:t>in</w:t>
      </w:r>
      <w:r w:rsidRPr="00257104">
        <w:rPr>
          <w:rFonts w:ascii="Times New Roman" w:eastAsia="Times New Roman" w:hAnsi="Times New Roman" w:cs="Times New Roman"/>
          <w:b/>
          <w:i/>
          <w:szCs w:val="20"/>
          <w:lang w:val="kk-KZ" w:eastAsia="ru-RU"/>
        </w:rPr>
        <w:t xml:space="preserve"> %) </w:t>
      </w:r>
    </w:p>
    <w:p w:rsidR="005A63A3" w:rsidRPr="00257104" w:rsidRDefault="005A63A3" w:rsidP="00257104">
      <w:pPr>
        <w:spacing w:after="0"/>
        <w:jc w:val="both"/>
        <w:rPr>
          <w:rFonts w:ascii="Times New Roman" w:eastAsia="Times New Roman" w:hAnsi="Times New Roman" w:cs="Times New Roman"/>
          <w:sz w:val="24"/>
          <w:szCs w:val="24"/>
          <w:lang w:val="en-US" w:eastAsia="it-IT"/>
        </w:rPr>
      </w:pPr>
    </w:p>
    <w:p w:rsidR="005A63A3" w:rsidRPr="00257104" w:rsidRDefault="0045735D" w:rsidP="00CA0B01">
      <w:pPr>
        <w:spacing w:after="0"/>
        <w:ind w:firstLine="284"/>
        <w:outlineLvl w:val="0"/>
        <w:rPr>
          <w:rFonts w:ascii="Times New Roman" w:eastAsia="Times New Roman" w:hAnsi="Times New Roman" w:cs="Times New Roman"/>
          <w:sz w:val="24"/>
          <w:szCs w:val="24"/>
          <w:lang w:val="en-US" w:eastAsia="it-IT"/>
        </w:rPr>
      </w:pPr>
      <w:r w:rsidRPr="004573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0435F22" wp14:editId="43A58633">
                <wp:simplePos x="0" y="0"/>
                <wp:positionH relativeFrom="column">
                  <wp:posOffset>3621261</wp:posOffset>
                </wp:positionH>
                <wp:positionV relativeFrom="paragraph">
                  <wp:posOffset>2352543</wp:posOffset>
                </wp:positionV>
                <wp:extent cx="1285336" cy="258445"/>
                <wp:effectExtent l="0" t="0" r="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258445"/>
                        </a:xfrm>
                        <a:prstGeom prst="rect">
                          <a:avLst/>
                        </a:prstGeom>
                        <a:solidFill>
                          <a:srgbClr val="FFFFFF"/>
                        </a:solidFill>
                        <a:ln w="9525">
                          <a:noFill/>
                          <a:miter lim="800000"/>
                          <a:headEnd/>
                          <a:tailEnd/>
                        </a:ln>
                      </wps:spPr>
                      <wps:txbx>
                        <w:txbxContent>
                          <w:p w:rsidR="0045735D" w:rsidRPr="0045735D" w:rsidRDefault="0045735D" w:rsidP="0045735D">
                            <w:pPr>
                              <w:rPr>
                                <w:rFonts w:ascii="Times New Roman" w:hAnsi="Times New Roman" w:cs="Times New Roman"/>
                                <w:sz w:val="18"/>
                                <w:szCs w:val="18"/>
                                <w:lang w:val="en-US"/>
                              </w:rPr>
                            </w:pPr>
                            <w:r>
                              <w:rPr>
                                <w:rFonts w:ascii="Times New Roman" w:hAnsi="Times New Roman" w:cs="Times New Roman"/>
                                <w:sz w:val="18"/>
                                <w:szCs w:val="18"/>
                                <w:lang w:val="en-US"/>
                              </w:rPr>
                              <w:t>In foreign currency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5.15pt;margin-top:185.25pt;width:101.2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" stroked="f">
                <v:textbox>
                  <w:txbxContent>
                    <w:p w:rsidR="0045735D" w:rsidRPr="0045735D" w:rsidRDefault="0045735D" w:rsidP="0045735D">
                      <w:pPr>
                        <w:rPr>
                          <w:rFonts w:ascii="Times New Roman" w:hAnsi="Times New Roman" w:cs="Times New Roman"/>
                          <w:sz w:val="18"/>
                          <w:szCs w:val="18"/>
                          <w:lang w:val="en-US"/>
                        </w:rPr>
                      </w:pPr>
                      <w:r>
                        <w:rPr>
                          <w:rFonts w:ascii="Times New Roman" w:hAnsi="Times New Roman" w:cs="Times New Roman"/>
                          <w:sz w:val="18"/>
                          <w:szCs w:val="18"/>
                          <w:lang w:val="en-US"/>
                        </w:rPr>
                        <w:t>In foreign currency</w:t>
                      </w:r>
                    </w:p>
                  </w:txbxContent>
                </v:textbox>
              </v:shape>
            </w:pict>
          </mc:Fallback>
        </mc:AlternateContent>
      </w:r>
      <w:r w:rsidRPr="004573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829BE5" wp14:editId="3BA38712">
                <wp:simplePos x="0" y="0"/>
                <wp:positionH relativeFrom="column">
                  <wp:posOffset>2775897</wp:posOffset>
                </wp:positionH>
                <wp:positionV relativeFrom="paragraph">
                  <wp:posOffset>2351405</wp:posOffset>
                </wp:positionV>
                <wp:extent cx="603849" cy="258445"/>
                <wp:effectExtent l="0" t="0" r="6350" b="825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58445"/>
                        </a:xfrm>
                        <a:prstGeom prst="rect">
                          <a:avLst/>
                        </a:prstGeom>
                        <a:solidFill>
                          <a:srgbClr val="FFFFFF"/>
                        </a:solidFill>
                        <a:ln w="9525">
                          <a:noFill/>
                          <a:miter lim="800000"/>
                          <a:headEnd/>
                          <a:tailEnd/>
                        </a:ln>
                      </wps:spPr>
                      <wps:txbx>
                        <w:txbxContent>
                          <w:p w:rsidR="0045735D" w:rsidRPr="0045735D" w:rsidRDefault="0045735D" w:rsidP="0045735D">
                            <w:pPr>
                              <w:rPr>
                                <w:rFonts w:ascii="Times New Roman" w:hAnsi="Times New Roman" w:cs="Times New Roman"/>
                                <w:sz w:val="18"/>
                                <w:szCs w:val="18"/>
                                <w:lang w:val="en-US"/>
                              </w:rPr>
                            </w:pPr>
                            <w:r>
                              <w:rPr>
                                <w:rFonts w:ascii="Times New Roman" w:hAnsi="Times New Roman" w:cs="Times New Roman"/>
                                <w:sz w:val="18"/>
                                <w:szCs w:val="18"/>
                                <w:lang w:val="en-US"/>
                              </w:rPr>
                              <w:t>In Tenge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55pt;margin-top:185.15pt;width:47.5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" stroked="f">
                <v:textbox>
                  <w:txbxContent>
                    <w:p w:rsidR="0045735D" w:rsidRPr="0045735D" w:rsidRDefault="0045735D" w:rsidP="0045735D">
                      <w:pPr>
                        <w:rPr>
                          <w:rFonts w:ascii="Times New Roman" w:hAnsi="Times New Roman" w:cs="Times New Roman"/>
                          <w:sz w:val="18"/>
                          <w:szCs w:val="18"/>
                          <w:lang w:val="en-US"/>
                        </w:rPr>
                      </w:pPr>
                      <w:r>
                        <w:rPr>
                          <w:rFonts w:ascii="Times New Roman" w:hAnsi="Times New Roman" w:cs="Times New Roman"/>
                          <w:sz w:val="18"/>
                          <w:szCs w:val="18"/>
                          <w:lang w:val="en-US"/>
                        </w:rPr>
                        <w:t>In Tenge</w:t>
                      </w:r>
                    </w:p>
                  </w:txbxContent>
                </v:textbox>
              </v:shape>
            </w:pict>
          </mc:Fallback>
        </mc:AlternateContent>
      </w:r>
      <w:r w:rsidRPr="004573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818014" wp14:editId="021B3E22">
                <wp:simplePos x="0" y="0"/>
                <wp:positionH relativeFrom="column">
                  <wp:posOffset>1489710</wp:posOffset>
                </wp:positionH>
                <wp:positionV relativeFrom="paragraph">
                  <wp:posOffset>2352723</wp:posOffset>
                </wp:positionV>
                <wp:extent cx="1112807" cy="258792"/>
                <wp:effectExtent l="0" t="0" r="0" b="825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7" cy="258792"/>
                        </a:xfrm>
                        <a:prstGeom prst="rect">
                          <a:avLst/>
                        </a:prstGeom>
                        <a:solidFill>
                          <a:srgbClr val="FFFFFF"/>
                        </a:solidFill>
                        <a:ln w="9525">
                          <a:noFill/>
                          <a:miter lim="800000"/>
                          <a:headEnd/>
                          <a:tailEnd/>
                        </a:ln>
                      </wps:spPr>
                      <wps:txbx>
                        <w:txbxContent>
                          <w:p w:rsidR="0045735D" w:rsidRPr="0045735D" w:rsidRDefault="0045735D">
                            <w:pPr>
                              <w:rPr>
                                <w:rFonts w:ascii="Times New Roman" w:hAnsi="Times New Roman" w:cs="Times New Roman"/>
                                <w:sz w:val="18"/>
                                <w:szCs w:val="18"/>
                                <w:lang w:val="en-US"/>
                              </w:rPr>
                            </w:pPr>
                            <w:r w:rsidRPr="0045735D">
                              <w:rPr>
                                <w:rFonts w:ascii="Times New Roman" w:hAnsi="Times New Roman" w:cs="Times New Roman"/>
                                <w:sz w:val="18"/>
                                <w:szCs w:val="18"/>
                                <w:lang w:val="en-US"/>
                              </w:rPr>
                              <w:t>Total retail deposits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7.3pt;margin-top:185.25pt;width:87.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" stroked="f">
                <v:textbox>
                  <w:txbxContent>
                    <w:p w:rsidR="0045735D" w:rsidRPr="0045735D" w:rsidRDefault="0045735D">
                      <w:pPr>
                        <w:rPr>
                          <w:rFonts w:ascii="Times New Roman" w:hAnsi="Times New Roman" w:cs="Times New Roman"/>
                          <w:sz w:val="18"/>
                          <w:szCs w:val="18"/>
                          <w:lang w:val="en-US"/>
                        </w:rPr>
                      </w:pPr>
                      <w:r w:rsidRPr="0045735D">
                        <w:rPr>
                          <w:rFonts w:ascii="Times New Roman" w:hAnsi="Times New Roman" w:cs="Times New Roman"/>
                          <w:sz w:val="18"/>
                          <w:szCs w:val="18"/>
                          <w:lang w:val="en-US"/>
                        </w:rPr>
                        <w:t>Total retail deposits</w:t>
                      </w:r>
                    </w:p>
                  </w:txbxContent>
                </v:textbox>
              </v:shape>
            </w:pict>
          </mc:Fallback>
        </mc:AlternateContent>
      </w:r>
      <w:r w:rsidR="005A63A3">
        <w:rPr>
          <w:rFonts w:ascii="Calibri" w:eastAsia="Calibri" w:hAnsi="Calibri" w:cs="Times New Roman"/>
          <w:noProof/>
          <w:lang w:eastAsia="ru-RU"/>
        </w:rPr>
        <w:drawing>
          <wp:inline distT="0" distB="0" distL="0" distR="0" wp14:anchorId="6A2B6109" wp14:editId="1D368970">
            <wp:extent cx="5324475" cy="26574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6F4D" w:rsidRDefault="00B66F4D" w:rsidP="005A63A3">
      <w:pPr>
        <w:spacing w:after="0"/>
        <w:ind w:firstLine="708"/>
        <w:jc w:val="both"/>
        <w:rPr>
          <w:rFonts w:ascii="Times New Roman" w:eastAsia="Times New Roman" w:hAnsi="Times New Roman" w:cs="Times New Roman"/>
          <w:sz w:val="24"/>
          <w:szCs w:val="24"/>
          <w:lang w:val="en-US" w:eastAsia="ru-RU"/>
        </w:rPr>
      </w:pPr>
    </w:p>
    <w:p w:rsidR="005A63A3" w:rsidRDefault="00A94C72" w:rsidP="00A94C72">
      <w:pPr>
        <w:spacing w:after="0"/>
        <w:ind w:firstLine="708"/>
        <w:jc w:val="both"/>
        <w:rPr>
          <w:rFonts w:ascii="Times New Roman" w:eastAsia="Times New Roman" w:hAnsi="Times New Roman" w:cs="Times New Roman"/>
          <w:color w:val="000000"/>
          <w:sz w:val="24"/>
          <w:szCs w:val="24"/>
          <w:lang w:val="en-US" w:eastAsia="ru-RU"/>
        </w:rPr>
      </w:pPr>
      <w:r w:rsidRPr="00CA6F55">
        <w:rPr>
          <w:rFonts w:ascii="Times New Roman" w:eastAsia="Times New Roman" w:hAnsi="Times New Roman" w:cs="Times New Roman"/>
          <w:color w:val="000000"/>
          <w:sz w:val="24"/>
          <w:szCs w:val="24"/>
          <w:lang w:val="en-US" w:eastAsia="ru-RU"/>
        </w:rPr>
        <w:t>The total retail deposit portfolio of member-banks consisted of the term and conditional deposits with the share of 8</w:t>
      </w:r>
      <w:r>
        <w:rPr>
          <w:rFonts w:ascii="Times New Roman" w:eastAsia="Times New Roman" w:hAnsi="Times New Roman" w:cs="Times New Roman"/>
          <w:color w:val="000000"/>
          <w:sz w:val="24"/>
          <w:szCs w:val="24"/>
          <w:lang w:val="en-US" w:eastAsia="ru-RU"/>
        </w:rPr>
        <w:t>8</w:t>
      </w:r>
      <w:r w:rsidRPr="00CA6F5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4</w:t>
      </w:r>
      <w:r w:rsidRPr="00CA6F55">
        <w:rPr>
          <w:rFonts w:ascii="Times New Roman" w:eastAsia="Times New Roman" w:hAnsi="Times New Roman" w:cs="Times New Roman"/>
          <w:color w:val="000000"/>
          <w:sz w:val="24"/>
          <w:szCs w:val="24"/>
          <w:lang w:val="en-US" w:eastAsia="ru-RU"/>
        </w:rPr>
        <w:t>%, or 3.</w:t>
      </w:r>
      <w:r>
        <w:rPr>
          <w:rFonts w:ascii="Times New Roman" w:eastAsia="Times New Roman" w:hAnsi="Times New Roman" w:cs="Times New Roman"/>
          <w:color w:val="000000"/>
          <w:sz w:val="24"/>
          <w:szCs w:val="24"/>
          <w:lang w:val="en-US" w:eastAsia="ru-RU"/>
        </w:rPr>
        <w:t>9</w:t>
      </w:r>
      <w:r w:rsidRPr="00CA6F55">
        <w:rPr>
          <w:rFonts w:ascii="Times New Roman" w:eastAsia="Times New Roman" w:hAnsi="Times New Roman" w:cs="Times New Roman"/>
          <w:color w:val="000000"/>
          <w:sz w:val="24"/>
          <w:szCs w:val="24"/>
          <w:lang w:val="en-US" w:eastAsia="ru-RU"/>
        </w:rPr>
        <w:t xml:space="preserve"> trillion tenge which increased over the quarter by </w:t>
      </w:r>
      <w:r>
        <w:rPr>
          <w:rFonts w:ascii="Times New Roman" w:eastAsia="Times New Roman" w:hAnsi="Times New Roman" w:cs="Times New Roman"/>
          <w:color w:val="000000"/>
          <w:sz w:val="24"/>
          <w:szCs w:val="24"/>
          <w:lang w:val="en-US" w:eastAsia="ru-RU"/>
        </w:rPr>
        <w:t>4</w:t>
      </w:r>
      <w:r w:rsidRPr="00CA6F5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6</w:t>
      </w:r>
      <w:r w:rsidRPr="00CA6F55">
        <w:rPr>
          <w:rFonts w:ascii="Times New Roman" w:eastAsia="Times New Roman" w:hAnsi="Times New Roman" w:cs="Times New Roman"/>
          <w:color w:val="000000"/>
          <w:sz w:val="24"/>
          <w:szCs w:val="24"/>
          <w:lang w:val="en-US" w:eastAsia="ru-RU"/>
        </w:rPr>
        <w:t xml:space="preserve">%, current and card accounts balances with a share of </w:t>
      </w:r>
      <w:r>
        <w:rPr>
          <w:rFonts w:ascii="Times New Roman" w:eastAsia="Times New Roman" w:hAnsi="Times New Roman" w:cs="Times New Roman"/>
          <w:color w:val="000000"/>
          <w:sz w:val="24"/>
          <w:szCs w:val="24"/>
          <w:lang w:val="en-US" w:eastAsia="ru-RU"/>
        </w:rPr>
        <w:t>10</w:t>
      </w:r>
      <w:r w:rsidRPr="00CA6F5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6</w:t>
      </w:r>
      <w:r w:rsidRPr="00CA6F55">
        <w:rPr>
          <w:rFonts w:ascii="Times New Roman" w:eastAsia="Times New Roman" w:hAnsi="Times New Roman" w:cs="Times New Roman"/>
          <w:color w:val="000000"/>
          <w:sz w:val="24"/>
          <w:szCs w:val="24"/>
          <w:lang w:val="en-US" w:eastAsia="ru-RU"/>
        </w:rPr>
        <w:t>%, or 4</w:t>
      </w:r>
      <w:r>
        <w:rPr>
          <w:rFonts w:ascii="Times New Roman" w:eastAsia="Times New Roman" w:hAnsi="Times New Roman" w:cs="Times New Roman"/>
          <w:color w:val="000000"/>
          <w:sz w:val="24"/>
          <w:szCs w:val="24"/>
          <w:lang w:val="en-US" w:eastAsia="ru-RU"/>
        </w:rPr>
        <w:t>6</w:t>
      </w:r>
      <w:r w:rsidRPr="00CA6F55">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val="en-US" w:eastAsia="ru-RU"/>
        </w:rPr>
        <w:t>3 billion tenge, having in</w:t>
      </w:r>
      <w:r w:rsidRPr="00CA6F55">
        <w:rPr>
          <w:rFonts w:ascii="Times New Roman" w:eastAsia="Times New Roman" w:hAnsi="Times New Roman" w:cs="Times New Roman"/>
          <w:color w:val="000000"/>
          <w:sz w:val="24"/>
          <w:szCs w:val="24"/>
          <w:lang w:val="en-US" w:eastAsia="ru-RU"/>
        </w:rPr>
        <w:t>creased during the quarter by 1</w:t>
      </w:r>
      <w:r>
        <w:rPr>
          <w:rFonts w:ascii="Times New Roman" w:eastAsia="Times New Roman" w:hAnsi="Times New Roman" w:cs="Times New Roman"/>
          <w:color w:val="000000"/>
          <w:sz w:val="24"/>
          <w:szCs w:val="24"/>
          <w:lang w:val="en-US" w:eastAsia="ru-RU"/>
        </w:rPr>
        <w:t>4</w:t>
      </w:r>
      <w:r w:rsidRPr="00CA6F5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8</w:t>
      </w:r>
      <w:r w:rsidRPr="00CA6F55">
        <w:rPr>
          <w:rFonts w:ascii="Times New Roman" w:eastAsia="Times New Roman" w:hAnsi="Times New Roman" w:cs="Times New Roman"/>
          <w:color w:val="000000"/>
          <w:sz w:val="24"/>
          <w:szCs w:val="24"/>
          <w:lang w:val="en-US" w:eastAsia="ru-RU"/>
        </w:rPr>
        <w:t xml:space="preserve">%, and call deposits with the share of </w:t>
      </w:r>
      <w:r>
        <w:rPr>
          <w:rFonts w:ascii="Times New Roman" w:eastAsia="Times New Roman" w:hAnsi="Times New Roman" w:cs="Times New Roman"/>
          <w:color w:val="000000"/>
          <w:sz w:val="24"/>
          <w:szCs w:val="24"/>
          <w:lang w:val="en-US" w:eastAsia="ru-RU"/>
        </w:rPr>
        <w:t>1</w:t>
      </w:r>
      <w:r w:rsidRPr="00CA6F55">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0</w:t>
      </w:r>
      <w:r w:rsidRPr="00CA6F55">
        <w:rPr>
          <w:rFonts w:ascii="Times New Roman" w:eastAsia="Times New Roman" w:hAnsi="Times New Roman" w:cs="Times New Roman"/>
          <w:color w:val="000000"/>
          <w:sz w:val="24"/>
          <w:szCs w:val="24"/>
          <w:lang w:val="en-US" w:eastAsia="ru-RU"/>
        </w:rPr>
        <w:t xml:space="preserve">%, or </w:t>
      </w:r>
      <w:r>
        <w:rPr>
          <w:rFonts w:ascii="Times New Roman" w:eastAsia="Times New Roman" w:hAnsi="Times New Roman" w:cs="Times New Roman"/>
          <w:color w:val="000000"/>
          <w:sz w:val="24"/>
          <w:szCs w:val="24"/>
          <w:lang w:val="en-US" w:eastAsia="ru-RU"/>
        </w:rPr>
        <w:t>43</w:t>
      </w:r>
      <w:r w:rsidRPr="00CA6F55">
        <w:rPr>
          <w:rFonts w:ascii="Times New Roman" w:eastAsia="Times New Roman" w:hAnsi="Times New Roman" w:cs="Times New Roman"/>
          <w:color w:val="000000"/>
          <w:sz w:val="24"/>
          <w:szCs w:val="24"/>
          <w:lang w:val="en-US" w:eastAsia="ru-RU"/>
        </w:rPr>
        <w:t>.5 billion tenge</w:t>
      </w:r>
      <w:r>
        <w:rPr>
          <w:rFonts w:ascii="Times New Roman" w:eastAsia="Times New Roman" w:hAnsi="Times New Roman" w:cs="Times New Roman"/>
          <w:color w:val="000000"/>
          <w:sz w:val="24"/>
          <w:szCs w:val="24"/>
          <w:lang w:val="en-US" w:eastAsia="ru-RU"/>
        </w:rPr>
        <w:t>.</w:t>
      </w:r>
    </w:p>
    <w:p w:rsidR="00A94C72" w:rsidRPr="00A94C72" w:rsidRDefault="00A94C72" w:rsidP="00A94C72">
      <w:pPr>
        <w:spacing w:after="0"/>
        <w:ind w:firstLine="708"/>
        <w:jc w:val="both"/>
        <w:rPr>
          <w:rFonts w:ascii="Times New Roman" w:eastAsia="Times New Roman" w:hAnsi="Times New Roman" w:cs="Times New Roman"/>
          <w:color w:val="000000"/>
          <w:sz w:val="24"/>
          <w:szCs w:val="24"/>
          <w:lang w:val="en-US" w:eastAsia="ru-RU"/>
        </w:rPr>
      </w:pPr>
    </w:p>
    <w:p w:rsidR="005A63A3" w:rsidRPr="00257104" w:rsidRDefault="00257104" w:rsidP="00257104">
      <w:pPr>
        <w:spacing w:before="120" w:after="120" w:line="21" w:lineRule="atLeast"/>
        <w:jc w:val="both"/>
        <w:rPr>
          <w:rFonts w:ascii="Times New Roman" w:eastAsia="Calibri" w:hAnsi="Times New Roman" w:cs="Times New Roman"/>
          <w:b/>
          <w:i/>
          <w:noProof/>
          <w:lang w:val="en-US" w:eastAsia="ru-RU"/>
        </w:rPr>
      </w:pPr>
      <w:r w:rsidRPr="00257104">
        <w:rPr>
          <w:rFonts w:ascii="Times New Roman" w:eastAsia="Calibri" w:hAnsi="Times New Roman" w:cs="Times New Roman"/>
          <w:b/>
          <w:i/>
          <w:noProof/>
          <w:lang w:val="en-US" w:eastAsia="ru-RU"/>
        </w:rPr>
        <w:t>Figure 2. Structure of retail deposits portfolio by the main categories (in b</w:t>
      </w:r>
      <w:r>
        <w:rPr>
          <w:rFonts w:ascii="Times New Roman" w:eastAsia="Calibri" w:hAnsi="Times New Roman" w:cs="Times New Roman"/>
          <w:b/>
          <w:i/>
          <w:noProof/>
          <w:lang w:val="en-US" w:eastAsia="ru-RU"/>
        </w:rPr>
        <w:t>il</w:t>
      </w:r>
      <w:r w:rsidRPr="00257104">
        <w:rPr>
          <w:rFonts w:ascii="Times New Roman" w:eastAsia="Calibri" w:hAnsi="Times New Roman" w:cs="Times New Roman"/>
          <w:b/>
          <w:i/>
          <w:noProof/>
          <w:lang w:val="en-US" w:eastAsia="ru-RU"/>
        </w:rPr>
        <w:t>l</w:t>
      </w:r>
      <w:r>
        <w:rPr>
          <w:rFonts w:ascii="Times New Roman" w:eastAsia="Calibri" w:hAnsi="Times New Roman" w:cs="Times New Roman"/>
          <w:b/>
          <w:i/>
          <w:noProof/>
          <w:lang w:val="en-US" w:eastAsia="ru-RU"/>
        </w:rPr>
        <w:t xml:space="preserve">ion </w:t>
      </w:r>
      <w:r w:rsidRPr="00257104">
        <w:rPr>
          <w:rFonts w:ascii="Times New Roman" w:eastAsia="Calibri" w:hAnsi="Times New Roman" w:cs="Times New Roman"/>
          <w:b/>
          <w:i/>
          <w:noProof/>
          <w:lang w:val="en-US" w:eastAsia="ru-RU"/>
        </w:rPr>
        <w:t>tenge)</w:t>
      </w:r>
    </w:p>
    <w:p w:rsidR="005A63A3" w:rsidRPr="005A63A3" w:rsidRDefault="00257104" w:rsidP="005A63A3">
      <w:pPr>
        <w:spacing w:after="0"/>
        <w:jc w:val="center"/>
        <w:rPr>
          <w:rFonts w:ascii="Calibri" w:eastAsia="Calibri" w:hAnsi="Calibri" w:cs="Times New Roman"/>
          <w:noProof/>
          <w:lang w:val="en-US" w:eastAsia="ru-RU"/>
        </w:rPr>
      </w:pPr>
      <w:r w:rsidRPr="0025710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1" allowOverlap="1" wp14:anchorId="7726CD35" wp14:editId="269B703A">
                <wp:simplePos x="0" y="0"/>
                <wp:positionH relativeFrom="column">
                  <wp:posOffset>3431373</wp:posOffset>
                </wp:positionH>
                <wp:positionV relativeFrom="paragraph">
                  <wp:posOffset>303530</wp:posOffset>
                </wp:positionV>
                <wp:extent cx="1992043" cy="2009955"/>
                <wp:effectExtent l="0" t="0" r="825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043" cy="2009955"/>
                        </a:xfrm>
                        <a:prstGeom prst="rect">
                          <a:avLst/>
                        </a:prstGeom>
                        <a:solidFill>
                          <a:srgbClr val="FFFFFF"/>
                        </a:solidFill>
                        <a:ln w="9525">
                          <a:noFill/>
                          <a:miter lim="800000"/>
                          <a:headEnd/>
                          <a:tailEnd/>
                        </a:ln>
                      </wps:spPr>
                      <wps:txbx>
                        <w:txbxContent>
                          <w:p w:rsidR="00257104" w:rsidRPr="00257104" w:rsidRDefault="00257104" w:rsidP="00257104">
                            <w:pPr>
                              <w:spacing w:after="0" w:line="240" w:lineRule="auto"/>
                              <w:rPr>
                                <w:rFonts w:ascii="Times New Roman" w:eastAsia="Calibri" w:hAnsi="Times New Roman" w:cs="Times New Roman"/>
                                <w:i/>
                                <w:sz w:val="18"/>
                                <w:szCs w:val="16"/>
                                <w:lang w:val="en-US"/>
                              </w:rPr>
                            </w:pPr>
                            <w:proofErr w:type="gramStart"/>
                            <w:r w:rsidRPr="00257104">
                              <w:rPr>
                                <w:rFonts w:ascii="Times New Roman" w:eastAsia="Calibri" w:hAnsi="Times New Roman" w:cs="Times New Roman"/>
                                <w:i/>
                                <w:sz w:val="18"/>
                                <w:szCs w:val="16"/>
                                <w:lang w:val="en-US"/>
                              </w:rPr>
                              <w:t xml:space="preserve">Term and conditional deposits up to T5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roofErr w:type="gramEnd"/>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45735D" w:rsidRDefault="0045735D"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 xml:space="preserve">Term and conditional </w:t>
                            </w:r>
                            <w:proofErr w:type="gramStart"/>
                            <w:r w:rsidRPr="00257104">
                              <w:rPr>
                                <w:rFonts w:ascii="Times New Roman" w:eastAsia="Calibri" w:hAnsi="Times New Roman" w:cs="Times New Roman"/>
                                <w:i/>
                                <w:sz w:val="18"/>
                                <w:szCs w:val="16"/>
                                <w:lang w:val="en-US"/>
                              </w:rPr>
                              <w:t>deposits  from</w:t>
                            </w:r>
                            <w:proofErr w:type="gramEnd"/>
                            <w:r w:rsidRPr="00257104">
                              <w:rPr>
                                <w:rFonts w:ascii="Times New Roman" w:eastAsia="Calibri" w:hAnsi="Times New Roman" w:cs="Times New Roman"/>
                                <w:i/>
                                <w:sz w:val="18"/>
                                <w:szCs w:val="16"/>
                                <w:lang w:val="en-US"/>
                              </w:rPr>
                              <w:t xml:space="preserve"> T5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 xml:space="preserve">. </w:t>
                            </w:r>
                            <w:proofErr w:type="gramStart"/>
                            <w:r w:rsidRPr="00257104">
                              <w:rPr>
                                <w:rFonts w:ascii="Times New Roman" w:eastAsia="Calibri" w:hAnsi="Times New Roman" w:cs="Times New Roman"/>
                                <w:i/>
                                <w:sz w:val="18"/>
                                <w:szCs w:val="16"/>
                                <w:lang w:val="en-US"/>
                              </w:rPr>
                              <w:t>to</w:t>
                            </w:r>
                            <w:proofErr w:type="gramEnd"/>
                            <w:r w:rsidRPr="00257104">
                              <w:rPr>
                                <w:rFonts w:ascii="Times New Roman" w:eastAsia="Calibri" w:hAnsi="Times New Roman" w:cs="Times New Roman"/>
                                <w:i/>
                                <w:sz w:val="18"/>
                                <w:szCs w:val="16"/>
                                <w:lang w:val="en-US"/>
                              </w:rPr>
                              <w:t xml:space="preserve"> T1</w:t>
                            </w:r>
                            <w:r>
                              <w:rPr>
                                <w:rFonts w:ascii="Times New Roman" w:eastAsia="Calibri" w:hAnsi="Times New Roman" w:cs="Times New Roman"/>
                                <w:i/>
                                <w:sz w:val="18"/>
                                <w:szCs w:val="16"/>
                                <w:lang w:val="en-US"/>
                              </w:rPr>
                              <w:t>5</w:t>
                            </w:r>
                            <w:r w:rsidRPr="00257104">
                              <w:rPr>
                                <w:rFonts w:ascii="Times New Roman" w:eastAsia="Calibri" w:hAnsi="Times New Roman" w:cs="Times New Roman"/>
                                <w:i/>
                                <w:sz w:val="18"/>
                                <w:szCs w:val="16"/>
                                <w:lang w:val="en-US"/>
                              </w:rPr>
                              <w:t xml:space="preserve">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
                          <w:p w:rsidR="00257104" w:rsidRDefault="00257104"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 xml:space="preserve">Term and conditional </w:t>
                            </w:r>
                            <w:proofErr w:type="gramStart"/>
                            <w:r w:rsidRPr="00257104">
                              <w:rPr>
                                <w:rFonts w:ascii="Times New Roman" w:eastAsia="Calibri" w:hAnsi="Times New Roman" w:cs="Times New Roman"/>
                                <w:i/>
                                <w:sz w:val="18"/>
                                <w:szCs w:val="16"/>
                                <w:lang w:val="en-US"/>
                              </w:rPr>
                              <w:t>deposits  over</w:t>
                            </w:r>
                            <w:proofErr w:type="gramEnd"/>
                            <w:r w:rsidRPr="00257104">
                              <w:rPr>
                                <w:rFonts w:ascii="Times New Roman" w:eastAsia="Calibri" w:hAnsi="Times New Roman" w:cs="Times New Roman"/>
                                <w:i/>
                                <w:sz w:val="18"/>
                                <w:szCs w:val="16"/>
                                <w:lang w:val="en-US"/>
                              </w:rPr>
                              <w:t xml:space="preserve"> T15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Call deposits</w:t>
                            </w:r>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45735D" w:rsidRDefault="0045735D" w:rsidP="00257104">
                            <w:pPr>
                              <w:spacing w:after="0" w:line="240" w:lineRule="auto"/>
                              <w:rPr>
                                <w:rFonts w:ascii="Times New Roman" w:eastAsia="Calibri" w:hAnsi="Times New Roman" w:cs="Times New Roman"/>
                                <w:i/>
                                <w:sz w:val="18"/>
                                <w:szCs w:val="18"/>
                                <w:lang w:val="en-US"/>
                              </w:rPr>
                            </w:pPr>
                          </w:p>
                          <w:p w:rsidR="00257104" w:rsidRPr="00257104" w:rsidRDefault="00257104" w:rsidP="00257104">
                            <w:pPr>
                              <w:spacing w:after="0" w:line="240" w:lineRule="auto"/>
                              <w:rPr>
                                <w:rFonts w:ascii="Times New Roman" w:eastAsia="Calibri" w:hAnsi="Times New Roman" w:cs="Times New Roman"/>
                                <w:i/>
                                <w:sz w:val="18"/>
                                <w:szCs w:val="18"/>
                                <w:lang w:val="en-US"/>
                              </w:rPr>
                            </w:pPr>
                            <w:r w:rsidRPr="00257104">
                              <w:rPr>
                                <w:rFonts w:ascii="Times New Roman" w:eastAsia="Calibri" w:hAnsi="Times New Roman" w:cs="Times New Roman"/>
                                <w:i/>
                                <w:sz w:val="18"/>
                                <w:szCs w:val="18"/>
                                <w:lang w:val="en-US"/>
                              </w:rPr>
                              <w:t>Current and card accounts balances</w:t>
                            </w:r>
                          </w:p>
                          <w:p w:rsidR="00257104" w:rsidRPr="00257104" w:rsidRDefault="0025710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2pt;margin-top:23.9pt;width:156.8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" stroked="f">
                <v:textbox>
                  <w:txbxContent>
                    <w:p w:rsidR="00257104" w:rsidRPr="00257104" w:rsidRDefault="00257104" w:rsidP="00257104">
                      <w:pPr>
                        <w:spacing w:after="0" w:line="240" w:lineRule="auto"/>
                        <w:rPr>
                          <w:rFonts w:ascii="Times New Roman" w:eastAsia="Calibri" w:hAnsi="Times New Roman" w:cs="Times New Roman"/>
                          <w:i/>
                          <w:sz w:val="18"/>
                          <w:szCs w:val="16"/>
                          <w:lang w:val="en-US"/>
                        </w:rPr>
                      </w:pPr>
                      <w:proofErr w:type="gramStart"/>
                      <w:r w:rsidRPr="00257104">
                        <w:rPr>
                          <w:rFonts w:ascii="Times New Roman" w:eastAsia="Calibri" w:hAnsi="Times New Roman" w:cs="Times New Roman"/>
                          <w:i/>
                          <w:sz w:val="18"/>
                          <w:szCs w:val="16"/>
                          <w:lang w:val="en-US"/>
                        </w:rPr>
                        <w:t xml:space="preserve">Term and conditional deposits up to T5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roofErr w:type="gramEnd"/>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45735D" w:rsidRDefault="0045735D"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 xml:space="preserve">Term and conditional </w:t>
                      </w:r>
                      <w:proofErr w:type="gramStart"/>
                      <w:r w:rsidRPr="00257104">
                        <w:rPr>
                          <w:rFonts w:ascii="Times New Roman" w:eastAsia="Calibri" w:hAnsi="Times New Roman" w:cs="Times New Roman"/>
                          <w:i/>
                          <w:sz w:val="18"/>
                          <w:szCs w:val="16"/>
                          <w:lang w:val="en-US"/>
                        </w:rPr>
                        <w:t>deposits  from</w:t>
                      </w:r>
                      <w:proofErr w:type="gramEnd"/>
                      <w:r w:rsidRPr="00257104">
                        <w:rPr>
                          <w:rFonts w:ascii="Times New Roman" w:eastAsia="Calibri" w:hAnsi="Times New Roman" w:cs="Times New Roman"/>
                          <w:i/>
                          <w:sz w:val="18"/>
                          <w:szCs w:val="16"/>
                          <w:lang w:val="en-US"/>
                        </w:rPr>
                        <w:t xml:space="preserve"> T5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 xml:space="preserve">. </w:t>
                      </w:r>
                      <w:proofErr w:type="gramStart"/>
                      <w:r w:rsidRPr="00257104">
                        <w:rPr>
                          <w:rFonts w:ascii="Times New Roman" w:eastAsia="Calibri" w:hAnsi="Times New Roman" w:cs="Times New Roman"/>
                          <w:i/>
                          <w:sz w:val="18"/>
                          <w:szCs w:val="16"/>
                          <w:lang w:val="en-US"/>
                        </w:rPr>
                        <w:t>to</w:t>
                      </w:r>
                      <w:proofErr w:type="gramEnd"/>
                      <w:r w:rsidRPr="00257104">
                        <w:rPr>
                          <w:rFonts w:ascii="Times New Roman" w:eastAsia="Calibri" w:hAnsi="Times New Roman" w:cs="Times New Roman"/>
                          <w:i/>
                          <w:sz w:val="18"/>
                          <w:szCs w:val="16"/>
                          <w:lang w:val="en-US"/>
                        </w:rPr>
                        <w:t xml:space="preserve"> T1</w:t>
                      </w:r>
                      <w:r>
                        <w:rPr>
                          <w:rFonts w:ascii="Times New Roman" w:eastAsia="Calibri" w:hAnsi="Times New Roman" w:cs="Times New Roman"/>
                          <w:i/>
                          <w:sz w:val="18"/>
                          <w:szCs w:val="16"/>
                          <w:lang w:val="en-US"/>
                        </w:rPr>
                        <w:t>5</w:t>
                      </w:r>
                      <w:r w:rsidRPr="00257104">
                        <w:rPr>
                          <w:rFonts w:ascii="Times New Roman" w:eastAsia="Calibri" w:hAnsi="Times New Roman" w:cs="Times New Roman"/>
                          <w:i/>
                          <w:sz w:val="18"/>
                          <w:szCs w:val="16"/>
                          <w:lang w:val="en-US"/>
                        </w:rPr>
                        <w:t xml:space="preserve">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
                    <w:p w:rsidR="00257104" w:rsidRDefault="00257104"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 xml:space="preserve">Term and conditional </w:t>
                      </w:r>
                      <w:proofErr w:type="gramStart"/>
                      <w:r w:rsidRPr="00257104">
                        <w:rPr>
                          <w:rFonts w:ascii="Times New Roman" w:eastAsia="Calibri" w:hAnsi="Times New Roman" w:cs="Times New Roman"/>
                          <w:i/>
                          <w:sz w:val="18"/>
                          <w:szCs w:val="16"/>
                          <w:lang w:val="en-US"/>
                        </w:rPr>
                        <w:t>deposits  over</w:t>
                      </w:r>
                      <w:proofErr w:type="gramEnd"/>
                      <w:r w:rsidRPr="00257104">
                        <w:rPr>
                          <w:rFonts w:ascii="Times New Roman" w:eastAsia="Calibri" w:hAnsi="Times New Roman" w:cs="Times New Roman"/>
                          <w:i/>
                          <w:sz w:val="18"/>
                          <w:szCs w:val="16"/>
                          <w:lang w:val="en-US"/>
                        </w:rPr>
                        <w:t xml:space="preserve"> T15 </w:t>
                      </w:r>
                      <w:proofErr w:type="spellStart"/>
                      <w:r w:rsidRPr="00257104">
                        <w:rPr>
                          <w:rFonts w:ascii="Times New Roman" w:eastAsia="Calibri" w:hAnsi="Times New Roman" w:cs="Times New Roman"/>
                          <w:i/>
                          <w:sz w:val="18"/>
                          <w:szCs w:val="16"/>
                          <w:lang w:val="en-US"/>
                        </w:rPr>
                        <w:t>mln</w:t>
                      </w:r>
                      <w:proofErr w:type="spellEnd"/>
                      <w:r w:rsidRPr="00257104">
                        <w:rPr>
                          <w:rFonts w:ascii="Times New Roman" w:eastAsia="Calibri" w:hAnsi="Times New Roman" w:cs="Times New Roman"/>
                          <w:i/>
                          <w:sz w:val="18"/>
                          <w:szCs w:val="16"/>
                          <w:lang w:val="en-US"/>
                        </w:rPr>
                        <w:t>.</w:t>
                      </w:r>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257104" w:rsidRPr="00257104" w:rsidRDefault="00257104" w:rsidP="00257104">
                      <w:pPr>
                        <w:spacing w:after="0" w:line="240" w:lineRule="auto"/>
                        <w:rPr>
                          <w:rFonts w:ascii="Times New Roman" w:eastAsia="Calibri" w:hAnsi="Times New Roman" w:cs="Times New Roman"/>
                          <w:i/>
                          <w:sz w:val="18"/>
                          <w:szCs w:val="16"/>
                          <w:lang w:val="en-US"/>
                        </w:rPr>
                      </w:pPr>
                      <w:r w:rsidRPr="00257104">
                        <w:rPr>
                          <w:rFonts w:ascii="Times New Roman" w:eastAsia="Calibri" w:hAnsi="Times New Roman" w:cs="Times New Roman"/>
                          <w:i/>
                          <w:sz w:val="18"/>
                          <w:szCs w:val="16"/>
                          <w:lang w:val="en-US"/>
                        </w:rPr>
                        <w:t>Call deposits</w:t>
                      </w:r>
                    </w:p>
                    <w:p w:rsidR="00257104" w:rsidRPr="00257104" w:rsidRDefault="00257104" w:rsidP="00257104">
                      <w:pPr>
                        <w:spacing w:after="0" w:line="240" w:lineRule="auto"/>
                        <w:rPr>
                          <w:rFonts w:ascii="Times New Roman" w:eastAsia="Calibri" w:hAnsi="Times New Roman" w:cs="Times New Roman"/>
                          <w:i/>
                          <w:sz w:val="18"/>
                          <w:szCs w:val="16"/>
                          <w:lang w:val="en-US"/>
                        </w:rPr>
                      </w:pPr>
                    </w:p>
                    <w:p w:rsidR="0045735D" w:rsidRDefault="0045735D" w:rsidP="00257104">
                      <w:pPr>
                        <w:spacing w:after="0" w:line="240" w:lineRule="auto"/>
                        <w:rPr>
                          <w:rFonts w:ascii="Times New Roman" w:eastAsia="Calibri" w:hAnsi="Times New Roman" w:cs="Times New Roman"/>
                          <w:i/>
                          <w:sz w:val="18"/>
                          <w:szCs w:val="18"/>
                          <w:lang w:val="en-US"/>
                        </w:rPr>
                      </w:pPr>
                    </w:p>
                    <w:p w:rsidR="00257104" w:rsidRPr="00257104" w:rsidRDefault="00257104" w:rsidP="00257104">
                      <w:pPr>
                        <w:spacing w:after="0" w:line="240" w:lineRule="auto"/>
                        <w:rPr>
                          <w:rFonts w:ascii="Times New Roman" w:eastAsia="Calibri" w:hAnsi="Times New Roman" w:cs="Times New Roman"/>
                          <w:i/>
                          <w:sz w:val="18"/>
                          <w:szCs w:val="18"/>
                          <w:lang w:val="en-US"/>
                        </w:rPr>
                      </w:pPr>
                      <w:r w:rsidRPr="00257104">
                        <w:rPr>
                          <w:rFonts w:ascii="Times New Roman" w:eastAsia="Calibri" w:hAnsi="Times New Roman" w:cs="Times New Roman"/>
                          <w:i/>
                          <w:sz w:val="18"/>
                          <w:szCs w:val="18"/>
                          <w:lang w:val="en-US"/>
                        </w:rPr>
                        <w:t>Current and card accounts balances</w:t>
                      </w:r>
                    </w:p>
                    <w:p w:rsidR="00257104" w:rsidRPr="00257104" w:rsidRDefault="00257104">
                      <w:pPr>
                        <w:rPr>
                          <w:lang w:val="en-US"/>
                        </w:rPr>
                      </w:pPr>
                    </w:p>
                  </w:txbxContent>
                </v:textbox>
              </v:shape>
            </w:pict>
          </mc:Fallback>
        </mc:AlternateContent>
      </w:r>
      <w:r w:rsidR="005A63A3">
        <w:rPr>
          <w:rFonts w:ascii="Calibri" w:eastAsia="Calibri" w:hAnsi="Calibri" w:cs="Times New Roman"/>
          <w:noProof/>
          <w:lang w:eastAsia="ru-RU"/>
        </w:rPr>
        <w:drawing>
          <wp:inline distT="0" distB="0" distL="0" distR="0" wp14:anchorId="342D3238" wp14:editId="44EC5D51">
            <wp:extent cx="5210175" cy="29527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4C72" w:rsidRPr="00CA6F55" w:rsidRDefault="00A94C72" w:rsidP="00A94C72">
      <w:pPr>
        <w:spacing w:after="0"/>
        <w:ind w:firstLine="567"/>
        <w:jc w:val="both"/>
        <w:rPr>
          <w:rFonts w:ascii="Times New Roman" w:eastAsia="Times New Roman" w:hAnsi="Times New Roman" w:cs="Times New Roman"/>
          <w:noProof/>
          <w:sz w:val="24"/>
          <w:szCs w:val="24"/>
          <w:lang w:val="en-US" w:eastAsia="ru-RU"/>
        </w:rPr>
      </w:pPr>
      <w:r w:rsidRPr="00CA6F55">
        <w:rPr>
          <w:rFonts w:ascii="Times New Roman" w:eastAsia="Times New Roman" w:hAnsi="Times New Roman" w:cs="Times New Roman"/>
          <w:noProof/>
          <w:sz w:val="24"/>
          <w:szCs w:val="24"/>
          <w:lang w:val="en-US" w:eastAsia="ru-RU"/>
        </w:rPr>
        <w:lastRenderedPageBreak/>
        <w:t xml:space="preserve">The term and conditional deposits up to 5 mln. tenge, composing </w:t>
      </w:r>
      <w:r>
        <w:rPr>
          <w:rFonts w:ascii="Times New Roman" w:eastAsia="Times New Roman" w:hAnsi="Times New Roman" w:cs="Times New Roman"/>
          <w:noProof/>
          <w:sz w:val="24"/>
          <w:szCs w:val="24"/>
          <w:lang w:val="en-US" w:eastAsia="ru-RU"/>
        </w:rPr>
        <w:t>29.5</w:t>
      </w:r>
      <w:r w:rsidRPr="00CA6F55">
        <w:rPr>
          <w:rFonts w:ascii="Times New Roman" w:eastAsia="Times New Roman" w:hAnsi="Times New Roman" w:cs="Times New Roman"/>
          <w:noProof/>
          <w:sz w:val="24"/>
          <w:szCs w:val="24"/>
          <w:lang w:val="en-US" w:eastAsia="ru-RU"/>
        </w:rPr>
        <w:t>% (or 1.</w:t>
      </w:r>
      <w:r>
        <w:rPr>
          <w:rFonts w:ascii="Times New Roman" w:eastAsia="Times New Roman" w:hAnsi="Times New Roman" w:cs="Times New Roman"/>
          <w:noProof/>
          <w:sz w:val="24"/>
          <w:szCs w:val="24"/>
          <w:lang w:val="en-US" w:eastAsia="ru-RU"/>
        </w:rPr>
        <w:t>3</w:t>
      </w:r>
      <w:r w:rsidRPr="00CA6F55">
        <w:rPr>
          <w:rFonts w:ascii="Times New Roman" w:eastAsia="Times New Roman" w:hAnsi="Times New Roman" w:cs="Times New Roman"/>
          <w:noProof/>
          <w:sz w:val="24"/>
          <w:szCs w:val="24"/>
          <w:lang w:val="en-US" w:eastAsia="ru-RU"/>
        </w:rPr>
        <w:t xml:space="preserve"> trillion tenge) of the aggregate individuals’ deposits portfolio, have gained </w:t>
      </w:r>
      <w:r>
        <w:rPr>
          <w:rFonts w:ascii="Times New Roman" w:eastAsia="Times New Roman" w:hAnsi="Times New Roman" w:cs="Times New Roman"/>
          <w:noProof/>
          <w:sz w:val="24"/>
          <w:szCs w:val="24"/>
          <w:lang w:val="en-US" w:eastAsia="ru-RU"/>
        </w:rPr>
        <w:t>45</w:t>
      </w:r>
      <w:r w:rsidRPr="00CA6F55">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en-US" w:eastAsia="ru-RU"/>
        </w:rPr>
        <w:t>3 billion tenge over the quarter</w:t>
      </w:r>
      <w:r w:rsidRPr="00CA6F55">
        <w:rPr>
          <w:rFonts w:ascii="Times New Roman" w:eastAsia="Times New Roman" w:hAnsi="Times New Roman" w:cs="Times New Roman"/>
          <w:noProof/>
          <w:sz w:val="24"/>
          <w:szCs w:val="24"/>
          <w:lang w:val="en-US" w:eastAsia="ru-RU"/>
        </w:rPr>
        <w:t xml:space="preserve">. Term deposits from 5 to 15 mln. tenge, over the quarter </w:t>
      </w:r>
      <w:r>
        <w:rPr>
          <w:rFonts w:ascii="Times New Roman" w:eastAsia="Times New Roman" w:hAnsi="Times New Roman" w:cs="Times New Roman"/>
          <w:noProof/>
          <w:sz w:val="24"/>
          <w:szCs w:val="24"/>
          <w:lang w:val="en-US" w:eastAsia="ru-RU"/>
        </w:rPr>
        <w:t>in</w:t>
      </w:r>
      <w:r w:rsidRPr="00CA6F55">
        <w:rPr>
          <w:rFonts w:ascii="Times New Roman" w:eastAsia="Times New Roman" w:hAnsi="Times New Roman" w:cs="Times New Roman"/>
          <w:noProof/>
          <w:sz w:val="24"/>
          <w:szCs w:val="24"/>
          <w:lang w:val="en-US" w:eastAsia="ru-RU"/>
        </w:rPr>
        <w:t xml:space="preserve">creased by </w:t>
      </w:r>
      <w:r>
        <w:rPr>
          <w:rFonts w:ascii="Times New Roman" w:eastAsia="Times New Roman" w:hAnsi="Times New Roman" w:cs="Times New Roman"/>
          <w:noProof/>
          <w:sz w:val="24"/>
          <w:szCs w:val="24"/>
          <w:lang w:val="en-US" w:eastAsia="ru-RU"/>
        </w:rPr>
        <w:t>23</w:t>
      </w:r>
      <w:r w:rsidRPr="00CA6F55">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en-US" w:eastAsia="ru-RU"/>
        </w:rPr>
        <w:t>8</w:t>
      </w:r>
      <w:r w:rsidRPr="00CA6F55">
        <w:rPr>
          <w:rFonts w:ascii="Times New Roman" w:eastAsia="Times New Roman" w:hAnsi="Times New Roman" w:cs="Times New Roman"/>
          <w:noProof/>
          <w:sz w:val="24"/>
          <w:szCs w:val="24"/>
          <w:lang w:val="en-US" w:eastAsia="ru-RU"/>
        </w:rPr>
        <w:t xml:space="preserve"> billion tenge and represent </w:t>
      </w:r>
      <w:r>
        <w:rPr>
          <w:rFonts w:ascii="Times New Roman" w:eastAsia="Times New Roman" w:hAnsi="Times New Roman" w:cs="Times New Roman"/>
          <w:noProof/>
          <w:sz w:val="24"/>
          <w:szCs w:val="24"/>
          <w:lang w:val="en-US" w:eastAsia="ru-RU"/>
        </w:rPr>
        <w:t xml:space="preserve">529.6 billion tenge or </w:t>
      </w:r>
      <w:r w:rsidRPr="00CA6F55">
        <w:rPr>
          <w:rFonts w:ascii="Times New Roman" w:eastAsia="Times New Roman" w:hAnsi="Times New Roman" w:cs="Times New Roman"/>
          <w:noProof/>
          <w:sz w:val="24"/>
          <w:szCs w:val="24"/>
          <w:lang w:val="en-US" w:eastAsia="ru-RU"/>
        </w:rPr>
        <w:t>12.</w:t>
      </w:r>
      <w:r>
        <w:rPr>
          <w:rFonts w:ascii="Times New Roman" w:eastAsia="Times New Roman" w:hAnsi="Times New Roman" w:cs="Times New Roman"/>
          <w:noProof/>
          <w:sz w:val="24"/>
          <w:szCs w:val="24"/>
          <w:lang w:val="en-US" w:eastAsia="ru-RU"/>
        </w:rPr>
        <w:t>1</w:t>
      </w:r>
      <w:r w:rsidRPr="00CA6F55">
        <w:rPr>
          <w:rFonts w:ascii="Times New Roman" w:eastAsia="Times New Roman" w:hAnsi="Times New Roman" w:cs="Times New Roman"/>
          <w:noProof/>
          <w:sz w:val="24"/>
          <w:szCs w:val="24"/>
          <w:lang w:val="en-US" w:eastAsia="ru-RU"/>
        </w:rPr>
        <w:t>% of the cumulative individuals’ deposits amount. The term and conditional deposits over 15 mln. tenge, composing the largest share of the individuals’ deposit portfolio 4</w:t>
      </w:r>
      <w:r>
        <w:rPr>
          <w:rFonts w:ascii="Times New Roman" w:eastAsia="Times New Roman" w:hAnsi="Times New Roman" w:cs="Times New Roman"/>
          <w:noProof/>
          <w:sz w:val="24"/>
          <w:szCs w:val="24"/>
          <w:lang w:val="en-US" w:eastAsia="ru-RU"/>
        </w:rPr>
        <w:t>6</w:t>
      </w:r>
      <w:r w:rsidRPr="00CA6F55">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en-US" w:eastAsia="ru-RU"/>
        </w:rPr>
        <w:t>8</w:t>
      </w:r>
      <w:r w:rsidRPr="00CA6F55">
        <w:rPr>
          <w:rFonts w:ascii="Times New Roman" w:eastAsia="Times New Roman" w:hAnsi="Times New Roman" w:cs="Times New Roman"/>
          <w:noProof/>
          <w:sz w:val="24"/>
          <w:szCs w:val="24"/>
          <w:lang w:val="en-US" w:eastAsia="ru-RU"/>
        </w:rPr>
        <w:t xml:space="preserve">%, have gained </w:t>
      </w:r>
      <w:r>
        <w:rPr>
          <w:rFonts w:ascii="Times New Roman" w:eastAsia="Times New Roman" w:hAnsi="Times New Roman" w:cs="Times New Roman"/>
          <w:noProof/>
          <w:sz w:val="24"/>
          <w:szCs w:val="24"/>
          <w:lang w:val="en-US" w:eastAsia="ru-RU"/>
        </w:rPr>
        <w:t>99</w:t>
      </w:r>
      <w:r w:rsidRPr="00CA6F55">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en-US" w:eastAsia="ru-RU"/>
        </w:rPr>
        <w:t xml:space="preserve">35 billion </w:t>
      </w:r>
      <w:r w:rsidRPr="00CA6F55">
        <w:rPr>
          <w:rFonts w:ascii="Times New Roman" w:eastAsia="Times New Roman" w:hAnsi="Times New Roman" w:cs="Times New Roman"/>
          <w:noProof/>
          <w:sz w:val="24"/>
          <w:szCs w:val="24"/>
          <w:lang w:val="en-US" w:eastAsia="ru-RU"/>
        </w:rPr>
        <w:t xml:space="preserve">tenge. Call deposits of individuals have increased by </w:t>
      </w:r>
      <w:r>
        <w:rPr>
          <w:rFonts w:ascii="Times New Roman" w:eastAsia="Times New Roman" w:hAnsi="Times New Roman" w:cs="Times New Roman"/>
          <w:noProof/>
          <w:sz w:val="24"/>
          <w:szCs w:val="24"/>
          <w:lang w:val="en-US" w:eastAsia="ru-RU"/>
        </w:rPr>
        <w:t>13</w:t>
      </w:r>
      <w:r w:rsidRPr="00CA6F55">
        <w:rPr>
          <w:rFonts w:ascii="Times New Roman" w:eastAsia="Times New Roman" w:hAnsi="Times New Roman" w:cs="Times New Roman"/>
          <w:noProof/>
          <w:sz w:val="24"/>
          <w:szCs w:val="24"/>
          <w:lang w:val="en-US" w:eastAsia="ru-RU"/>
        </w:rPr>
        <w:t>.</w:t>
      </w:r>
      <w:r>
        <w:rPr>
          <w:rFonts w:ascii="Times New Roman" w:eastAsia="Times New Roman" w:hAnsi="Times New Roman" w:cs="Times New Roman"/>
          <w:noProof/>
          <w:sz w:val="24"/>
          <w:szCs w:val="24"/>
          <w:lang w:val="en-US" w:eastAsia="ru-RU"/>
        </w:rPr>
        <w:t xml:space="preserve">1% or 5.0 billion tenge </w:t>
      </w:r>
      <w:r w:rsidRPr="00CA6F55">
        <w:rPr>
          <w:rFonts w:ascii="Times New Roman" w:eastAsia="Times New Roman" w:hAnsi="Times New Roman" w:cs="Times New Roman"/>
          <w:noProof/>
          <w:sz w:val="24"/>
          <w:szCs w:val="24"/>
          <w:lang w:val="en-US" w:eastAsia="ru-RU"/>
        </w:rPr>
        <w:t xml:space="preserve">over the quarter whose share </w:t>
      </w:r>
      <w:r>
        <w:rPr>
          <w:rFonts w:ascii="Times New Roman" w:eastAsia="Times New Roman" w:hAnsi="Times New Roman" w:cs="Times New Roman"/>
          <w:noProof/>
          <w:sz w:val="24"/>
          <w:szCs w:val="24"/>
          <w:lang w:val="en-US" w:eastAsia="ru-RU"/>
        </w:rPr>
        <w:t>was 1.0</w:t>
      </w:r>
      <w:r w:rsidRPr="00CA6F55">
        <w:rPr>
          <w:rFonts w:ascii="Times New Roman" w:eastAsia="Times New Roman" w:hAnsi="Times New Roman" w:cs="Times New Roman"/>
          <w:noProof/>
          <w:sz w:val="24"/>
          <w:szCs w:val="24"/>
          <w:lang w:val="en-US" w:eastAsia="ru-RU"/>
        </w:rPr>
        <w:t>% of the total retail deposits amount. Current and card account balances totaled 4</w:t>
      </w:r>
      <w:r>
        <w:rPr>
          <w:rFonts w:ascii="Times New Roman" w:eastAsia="Times New Roman" w:hAnsi="Times New Roman" w:cs="Times New Roman"/>
          <w:noProof/>
          <w:sz w:val="24"/>
          <w:szCs w:val="24"/>
          <w:lang w:val="en-US" w:eastAsia="ru-RU"/>
        </w:rPr>
        <w:t>6</w:t>
      </w:r>
      <w:r w:rsidRPr="00CA6F55">
        <w:rPr>
          <w:rFonts w:ascii="Times New Roman" w:eastAsia="Times New Roman" w:hAnsi="Times New Roman" w:cs="Times New Roman"/>
          <w:noProof/>
          <w:sz w:val="24"/>
          <w:szCs w:val="24"/>
          <w:lang w:val="en-US" w:eastAsia="ru-RU"/>
        </w:rPr>
        <w:t>3.</w:t>
      </w:r>
      <w:r>
        <w:rPr>
          <w:rFonts w:ascii="Times New Roman" w:eastAsia="Times New Roman" w:hAnsi="Times New Roman" w:cs="Times New Roman"/>
          <w:noProof/>
          <w:sz w:val="24"/>
          <w:szCs w:val="24"/>
          <w:lang w:val="en-US" w:eastAsia="ru-RU"/>
        </w:rPr>
        <w:t>3</w:t>
      </w:r>
      <w:r w:rsidRPr="00CA6F55">
        <w:rPr>
          <w:rFonts w:ascii="Times New Roman" w:eastAsia="Times New Roman" w:hAnsi="Times New Roman" w:cs="Times New Roman"/>
          <w:noProof/>
          <w:sz w:val="24"/>
          <w:szCs w:val="24"/>
          <w:lang w:val="en-US" w:eastAsia="ru-RU"/>
        </w:rPr>
        <w:t xml:space="preserve"> b</w:t>
      </w:r>
      <w:r>
        <w:rPr>
          <w:rFonts w:ascii="Times New Roman" w:eastAsia="Times New Roman" w:hAnsi="Times New Roman" w:cs="Times New Roman"/>
          <w:noProof/>
          <w:sz w:val="24"/>
          <w:szCs w:val="24"/>
          <w:lang w:val="en-US" w:eastAsia="ru-RU"/>
        </w:rPr>
        <w:t>il</w:t>
      </w:r>
      <w:r w:rsidRPr="00CA6F55">
        <w:rPr>
          <w:rFonts w:ascii="Times New Roman" w:eastAsia="Times New Roman" w:hAnsi="Times New Roman" w:cs="Times New Roman"/>
          <w:noProof/>
          <w:sz w:val="24"/>
          <w:szCs w:val="24"/>
          <w:lang w:val="en-US" w:eastAsia="ru-RU"/>
        </w:rPr>
        <w:t>l</w:t>
      </w:r>
      <w:r>
        <w:rPr>
          <w:rFonts w:ascii="Times New Roman" w:eastAsia="Times New Roman" w:hAnsi="Times New Roman" w:cs="Times New Roman"/>
          <w:noProof/>
          <w:sz w:val="24"/>
          <w:szCs w:val="24"/>
          <w:lang w:val="en-US" w:eastAsia="ru-RU"/>
        </w:rPr>
        <w:t>io</w:t>
      </w:r>
      <w:r w:rsidRPr="00CA6F55">
        <w:rPr>
          <w:rFonts w:ascii="Times New Roman" w:eastAsia="Times New Roman" w:hAnsi="Times New Roman" w:cs="Times New Roman"/>
          <w:noProof/>
          <w:sz w:val="24"/>
          <w:szCs w:val="24"/>
          <w:lang w:val="en-US" w:eastAsia="ru-RU"/>
        </w:rPr>
        <w:t xml:space="preserve">n tenge, as a result of </w:t>
      </w:r>
      <w:r>
        <w:rPr>
          <w:rFonts w:ascii="Times New Roman" w:eastAsia="Times New Roman" w:hAnsi="Times New Roman" w:cs="Times New Roman"/>
          <w:noProof/>
          <w:sz w:val="24"/>
          <w:szCs w:val="24"/>
          <w:lang w:val="en-US" w:eastAsia="ru-RU"/>
        </w:rPr>
        <w:t xml:space="preserve">increase by 59.6 billion </w:t>
      </w:r>
      <w:r w:rsidRPr="00CA6F55">
        <w:rPr>
          <w:rFonts w:ascii="Times New Roman" w:eastAsia="Times New Roman" w:hAnsi="Times New Roman" w:cs="Times New Roman"/>
          <w:noProof/>
          <w:sz w:val="24"/>
          <w:szCs w:val="24"/>
          <w:lang w:val="en-US" w:eastAsia="ru-RU"/>
        </w:rPr>
        <w:t>tenge.</w:t>
      </w:r>
    </w:p>
    <w:p w:rsidR="00A94C72" w:rsidRPr="00C9274E" w:rsidRDefault="00A94C72" w:rsidP="00A94C72">
      <w:pPr>
        <w:spacing w:before="120" w:after="120"/>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Additionally, i</w:t>
      </w:r>
      <w:r w:rsidRPr="00C9274E">
        <w:rPr>
          <w:rFonts w:ascii="Times New Roman" w:eastAsia="Times New Roman" w:hAnsi="Times New Roman" w:cs="Times New Roman"/>
          <w:sz w:val="24"/>
          <w:szCs w:val="24"/>
          <w:lang w:val="en-US" w:eastAsia="ru-RU"/>
        </w:rPr>
        <w:t>t should be noted that 6.</w:t>
      </w:r>
      <w:r>
        <w:rPr>
          <w:rFonts w:ascii="Times New Roman" w:eastAsia="Times New Roman" w:hAnsi="Times New Roman" w:cs="Times New Roman"/>
          <w:sz w:val="24"/>
          <w:szCs w:val="24"/>
          <w:lang w:val="en-US" w:eastAsia="ru-RU"/>
        </w:rPr>
        <w:t>3</w:t>
      </w:r>
      <w:r w:rsidRPr="00C9274E">
        <w:rPr>
          <w:rFonts w:ascii="Times New Roman" w:eastAsia="Times New Roman" w:hAnsi="Times New Roman" w:cs="Times New Roman"/>
          <w:sz w:val="24"/>
          <w:szCs w:val="24"/>
          <w:lang w:val="en-US" w:eastAsia="ru-RU"/>
        </w:rPr>
        <w:t>% of aggregate retail deposits, or 2</w:t>
      </w:r>
      <w:r>
        <w:rPr>
          <w:rFonts w:ascii="Times New Roman" w:eastAsia="Times New Roman" w:hAnsi="Times New Roman" w:cs="Times New Roman"/>
          <w:sz w:val="24"/>
          <w:szCs w:val="24"/>
          <w:lang w:val="en-US" w:eastAsia="ru-RU"/>
        </w:rPr>
        <w:t>73</w:t>
      </w:r>
      <w:r w:rsidRPr="00C9274E">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5</w:t>
      </w:r>
      <w:r w:rsidRPr="00C9274E">
        <w:rPr>
          <w:rFonts w:ascii="Times New Roman" w:eastAsia="Times New Roman" w:hAnsi="Times New Roman" w:cs="Times New Roman"/>
          <w:sz w:val="24"/>
          <w:szCs w:val="24"/>
          <w:lang w:val="en-US" w:eastAsia="ru-RU"/>
        </w:rPr>
        <w:t xml:space="preserve"> </w:t>
      </w:r>
      <w:proofErr w:type="spellStart"/>
      <w:r w:rsidRPr="00C9274E">
        <w:rPr>
          <w:rFonts w:ascii="Times New Roman" w:eastAsia="Times New Roman" w:hAnsi="Times New Roman" w:cs="Times New Roman"/>
          <w:sz w:val="24"/>
          <w:szCs w:val="24"/>
          <w:lang w:val="en-US" w:eastAsia="ru-RU"/>
        </w:rPr>
        <w:t>bln</w:t>
      </w:r>
      <w:proofErr w:type="spellEnd"/>
      <w:r w:rsidRPr="00C9274E">
        <w:rPr>
          <w:rFonts w:ascii="Times New Roman" w:eastAsia="Times New Roman" w:hAnsi="Times New Roman" w:cs="Times New Roman"/>
          <w:sz w:val="24"/>
          <w:szCs w:val="24"/>
          <w:lang w:val="en-US" w:eastAsia="ru-RU"/>
        </w:rPr>
        <w:t xml:space="preserve">. tenge, including current and card account balances, belong to the member-banks’ top-management, as well as their shareholders holding in total 5% or more of the banks’ voting shares, and their close relatives. Over the reporting </w:t>
      </w:r>
      <w:r>
        <w:rPr>
          <w:rFonts w:ascii="Times New Roman" w:eastAsia="Times New Roman" w:hAnsi="Times New Roman" w:cs="Times New Roman"/>
          <w:sz w:val="24"/>
          <w:szCs w:val="24"/>
          <w:lang w:val="en-US" w:eastAsia="ru-RU"/>
        </w:rPr>
        <w:t xml:space="preserve">quarter </w:t>
      </w:r>
      <w:r w:rsidRPr="00C9274E">
        <w:rPr>
          <w:rFonts w:ascii="Times New Roman" w:eastAsia="Times New Roman" w:hAnsi="Times New Roman" w:cs="Times New Roman"/>
          <w:sz w:val="24"/>
          <w:szCs w:val="24"/>
          <w:lang w:val="en-US" w:eastAsia="ru-RU"/>
        </w:rPr>
        <w:t xml:space="preserve">the cumulative balance of those deposits has raised by </w:t>
      </w:r>
      <w:r>
        <w:rPr>
          <w:rFonts w:ascii="Times New Roman" w:eastAsia="Times New Roman" w:hAnsi="Times New Roman" w:cs="Times New Roman"/>
          <w:sz w:val="24"/>
          <w:szCs w:val="24"/>
          <w:lang w:val="en-US" w:eastAsia="ru-RU"/>
        </w:rPr>
        <w:t>1</w:t>
      </w:r>
      <w:r w:rsidRPr="00C9274E">
        <w:rPr>
          <w:rFonts w:ascii="Times New Roman" w:eastAsia="Times New Roman" w:hAnsi="Times New Roman" w:cs="Times New Roman"/>
          <w:sz w:val="24"/>
          <w:szCs w:val="24"/>
          <w:lang w:val="en-US" w:eastAsia="ru-RU"/>
        </w:rPr>
        <w:t>0.</w:t>
      </w:r>
      <w:r w:rsidR="004E3A81">
        <w:rPr>
          <w:rFonts w:ascii="Times New Roman" w:eastAsia="Times New Roman" w:hAnsi="Times New Roman" w:cs="Times New Roman"/>
          <w:sz w:val="24"/>
          <w:szCs w:val="24"/>
          <w:lang w:val="en-US" w:eastAsia="ru-RU"/>
        </w:rPr>
        <w:t xml:space="preserve">6 </w:t>
      </w:r>
      <w:proofErr w:type="spellStart"/>
      <w:r w:rsidR="004E3A81">
        <w:rPr>
          <w:rFonts w:ascii="Times New Roman" w:eastAsia="Times New Roman" w:hAnsi="Times New Roman" w:cs="Times New Roman"/>
          <w:sz w:val="24"/>
          <w:szCs w:val="24"/>
          <w:lang w:val="en-US" w:eastAsia="ru-RU"/>
        </w:rPr>
        <w:t>bln</w:t>
      </w:r>
      <w:proofErr w:type="spellEnd"/>
      <w:r w:rsidR="004E3A81">
        <w:rPr>
          <w:rFonts w:ascii="Times New Roman" w:eastAsia="Times New Roman" w:hAnsi="Times New Roman" w:cs="Times New Roman"/>
          <w:sz w:val="24"/>
          <w:szCs w:val="24"/>
          <w:lang w:val="en-US" w:eastAsia="ru-RU"/>
        </w:rPr>
        <w:t xml:space="preserve">. </w:t>
      </w:r>
      <w:proofErr w:type="gramStart"/>
      <w:r w:rsidR="004E3A81">
        <w:rPr>
          <w:rFonts w:ascii="Times New Roman" w:eastAsia="Times New Roman" w:hAnsi="Times New Roman" w:cs="Times New Roman"/>
          <w:sz w:val="24"/>
          <w:szCs w:val="24"/>
          <w:lang w:val="en-US" w:eastAsia="ru-RU"/>
        </w:rPr>
        <w:t>tenge</w:t>
      </w:r>
      <w:proofErr w:type="gramEnd"/>
      <w:r>
        <w:rPr>
          <w:rFonts w:ascii="Times New Roman" w:eastAsia="Times New Roman" w:hAnsi="Times New Roman" w:cs="Times New Roman"/>
          <w:sz w:val="24"/>
          <w:szCs w:val="24"/>
          <w:lang w:val="en-US" w:eastAsia="ru-RU"/>
        </w:rPr>
        <w:t xml:space="preserve"> or </w:t>
      </w:r>
      <w:r w:rsidRPr="00C9274E">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1</w:t>
      </w:r>
      <w:r w:rsidRPr="00C9274E">
        <w:rPr>
          <w:rFonts w:ascii="Times New Roman" w:eastAsia="Times New Roman" w:hAnsi="Times New Roman" w:cs="Times New Roman"/>
          <w:sz w:val="24"/>
          <w:szCs w:val="24"/>
          <w:lang w:val="en-US" w:eastAsia="ru-RU"/>
        </w:rPr>
        <w:t>%.</w:t>
      </w:r>
    </w:p>
    <w:p w:rsidR="005A63A3" w:rsidRPr="00A94C72" w:rsidRDefault="00A94C72" w:rsidP="005A63A3">
      <w:pPr>
        <w:spacing w:before="120" w:after="120"/>
        <w:ind w:firstLine="567"/>
        <w:jc w:val="both"/>
        <w:rPr>
          <w:rFonts w:ascii="Times New Roman" w:eastAsia="Times New Roman" w:hAnsi="Times New Roman" w:cs="Times New Roman"/>
          <w:sz w:val="24"/>
          <w:szCs w:val="24"/>
          <w:lang w:val="en-US" w:eastAsia="ru-RU"/>
        </w:rPr>
      </w:pPr>
      <w:r w:rsidRPr="00A94C72">
        <w:rPr>
          <w:rFonts w:ascii="Times New Roman" w:eastAsia="Calibri" w:hAnsi="Times New Roman" w:cs="Times New Roman"/>
          <w:sz w:val="24"/>
          <w:szCs w:val="24"/>
          <w:lang w:val="en-US"/>
        </w:rPr>
        <w:t xml:space="preserve">As of July 1, 2014 the cumulative KDIF’s liabilities on payouts to the member-banks’ insured depositors in case of a bank failure amounted to 2.3 trillion tenge. At the reporting date, KDIF’s special reserve reached 189.2 </w:t>
      </w:r>
      <w:proofErr w:type="spellStart"/>
      <w:r w:rsidRPr="00A94C72">
        <w:rPr>
          <w:rFonts w:ascii="Times New Roman" w:eastAsia="Calibri" w:hAnsi="Times New Roman" w:cs="Times New Roman"/>
          <w:sz w:val="24"/>
          <w:szCs w:val="24"/>
          <w:lang w:val="en-US"/>
        </w:rPr>
        <w:t>bln</w:t>
      </w:r>
      <w:proofErr w:type="spellEnd"/>
      <w:r w:rsidRPr="00A94C72">
        <w:rPr>
          <w:rFonts w:ascii="Times New Roman" w:eastAsia="Calibri" w:hAnsi="Times New Roman" w:cs="Times New Roman"/>
          <w:sz w:val="24"/>
          <w:szCs w:val="24"/>
          <w:lang w:val="en-US"/>
        </w:rPr>
        <w:t xml:space="preserve">. </w:t>
      </w:r>
      <w:proofErr w:type="gramStart"/>
      <w:r w:rsidRPr="00A94C72">
        <w:rPr>
          <w:rFonts w:ascii="Times New Roman" w:eastAsia="Calibri" w:hAnsi="Times New Roman" w:cs="Times New Roman"/>
          <w:sz w:val="24"/>
          <w:szCs w:val="24"/>
          <w:lang w:val="en-US"/>
        </w:rPr>
        <w:t>tenge</w:t>
      </w:r>
      <w:proofErr w:type="gramEnd"/>
      <w:r w:rsidRPr="00A94C72">
        <w:rPr>
          <w:rFonts w:ascii="Times New Roman" w:eastAsia="Calibri" w:hAnsi="Times New Roman" w:cs="Times New Roman"/>
          <w:sz w:val="24"/>
          <w:szCs w:val="24"/>
          <w:lang w:val="en-US"/>
        </w:rPr>
        <w:t xml:space="preserve">, net of the KDIF’s authorized capital.  Under the current legislation KDIF is authorized to use up to 70% of its authorized capital in case of its special reserve’s shortage upon the Shareholder’s approval, and in this case the maximum possible size of the KDIF’s special reserve will be amounted to 291.9 </w:t>
      </w:r>
      <w:proofErr w:type="spellStart"/>
      <w:r w:rsidRPr="00A94C72">
        <w:rPr>
          <w:rFonts w:ascii="Times New Roman" w:eastAsia="Calibri" w:hAnsi="Times New Roman" w:cs="Times New Roman"/>
          <w:sz w:val="24"/>
          <w:szCs w:val="24"/>
          <w:lang w:val="en-US"/>
        </w:rPr>
        <w:t>bln</w:t>
      </w:r>
      <w:proofErr w:type="spellEnd"/>
      <w:r w:rsidRPr="00A94C72">
        <w:rPr>
          <w:rFonts w:ascii="Times New Roman" w:eastAsia="Calibri" w:hAnsi="Times New Roman" w:cs="Times New Roman"/>
          <w:sz w:val="24"/>
          <w:szCs w:val="24"/>
          <w:lang w:val="en-US"/>
        </w:rPr>
        <w:t xml:space="preserve">. </w:t>
      </w:r>
      <w:proofErr w:type="gramStart"/>
      <w:r w:rsidR="004E3A81">
        <w:rPr>
          <w:rFonts w:ascii="Times New Roman" w:eastAsia="Calibri" w:hAnsi="Times New Roman" w:cs="Times New Roman"/>
          <w:sz w:val="24"/>
          <w:szCs w:val="24"/>
          <w:lang w:val="en-US"/>
        </w:rPr>
        <w:t>tenge</w:t>
      </w:r>
      <w:proofErr w:type="gramEnd"/>
      <w:r w:rsidR="004E3A81">
        <w:rPr>
          <w:rFonts w:ascii="Times New Roman" w:eastAsia="Calibri" w:hAnsi="Times New Roman" w:cs="Times New Roman"/>
          <w:sz w:val="24"/>
          <w:szCs w:val="24"/>
          <w:lang w:val="en-US"/>
        </w:rPr>
        <w:t xml:space="preserve"> which is </w:t>
      </w:r>
      <w:r w:rsidRPr="00A94C72">
        <w:rPr>
          <w:rFonts w:ascii="Times New Roman" w:eastAsia="Calibri" w:hAnsi="Times New Roman" w:cs="Times New Roman"/>
          <w:sz w:val="24"/>
          <w:szCs w:val="24"/>
          <w:lang w:val="en-US"/>
        </w:rPr>
        <w:t xml:space="preserve">12.9% of </w:t>
      </w:r>
      <w:r w:rsidR="00937113" w:rsidRPr="00937113">
        <w:rPr>
          <w:rFonts w:ascii="Times New Roman" w:eastAsia="Calibri" w:hAnsi="Times New Roman" w:cs="Times New Roman"/>
          <w:sz w:val="24"/>
          <w:szCs w:val="24"/>
          <w:lang w:val="en-US"/>
        </w:rPr>
        <w:t xml:space="preserve">the cumulative KDIF’s liabilities on payouts </w:t>
      </w:r>
      <w:r w:rsidRPr="00A94C72">
        <w:rPr>
          <w:rFonts w:ascii="Times New Roman" w:eastAsia="Calibri" w:hAnsi="Times New Roman" w:cs="Times New Roman"/>
          <w:sz w:val="24"/>
          <w:szCs w:val="24"/>
          <w:lang w:val="en-US"/>
        </w:rPr>
        <w:t>or 6.7% of the total amount of member-banks’ retail deposits.</w:t>
      </w:r>
    </w:p>
    <w:p w:rsidR="00A94C72" w:rsidRDefault="00A94C72" w:rsidP="00A94C72">
      <w:pPr>
        <w:spacing w:after="0"/>
        <w:ind w:firstLine="567"/>
        <w:jc w:val="both"/>
        <w:rPr>
          <w:rFonts w:ascii="Times New Roman" w:eastAsia="Times New Roman" w:hAnsi="Times New Roman" w:cs="Times New Roman"/>
          <w:sz w:val="24"/>
          <w:szCs w:val="24"/>
          <w:lang w:val="en-US" w:eastAsia="ru-RU"/>
        </w:rPr>
      </w:pPr>
      <w:r w:rsidRPr="00A94C72">
        <w:rPr>
          <w:rFonts w:ascii="Times New Roman" w:eastAsia="Times New Roman" w:hAnsi="Times New Roman" w:cs="Times New Roman"/>
          <w:sz w:val="24"/>
          <w:szCs w:val="24"/>
          <w:lang w:val="en-US" w:eastAsia="ru-RU"/>
        </w:rPr>
        <w:t>As a result of the reporting quarter within the differential premium system “BATA” framework the largest number of member-banks is allocated to the classification groups “C” with the premium rate – 0.11 (15 banks) and “D” with the premium rate – 0.19% (10 banks). During the quarter 7 member-banks transferred to the classification group with higher ratings and correspondingly lower premium rates, 3 member-banks assigned to the group “S” with the 0.5% quarterly premium rate.</w:t>
      </w:r>
      <w:r w:rsidR="009C0CEF" w:rsidRPr="009C0CEF">
        <w:rPr>
          <w:rFonts w:ascii="Times New Roman" w:eastAsia="Times New Roman" w:hAnsi="Times New Roman" w:cs="Times New Roman"/>
          <w:noProof/>
          <w:sz w:val="24"/>
          <w:szCs w:val="24"/>
          <w:lang w:val="en-US" w:eastAsia="ru-RU"/>
        </w:rPr>
        <w:t xml:space="preserve"> </w:t>
      </w:r>
    </w:p>
    <w:p w:rsidR="00A94C72" w:rsidRDefault="00A94C72" w:rsidP="0045735D">
      <w:pPr>
        <w:spacing w:after="0"/>
        <w:jc w:val="both"/>
        <w:rPr>
          <w:rFonts w:ascii="Times New Roman" w:eastAsia="Times New Roman" w:hAnsi="Times New Roman" w:cs="Times New Roman"/>
          <w:sz w:val="24"/>
          <w:szCs w:val="24"/>
          <w:lang w:val="en-US" w:eastAsia="ru-RU"/>
        </w:rPr>
      </w:pPr>
    </w:p>
    <w:p w:rsidR="005A63A3" w:rsidRPr="0045735D" w:rsidRDefault="0045735D" w:rsidP="0045735D">
      <w:pPr>
        <w:spacing w:after="0"/>
        <w:jc w:val="both"/>
        <w:rPr>
          <w:rFonts w:ascii="Times New Roman" w:eastAsia="Calibri" w:hAnsi="Times New Roman" w:cs="Times New Roman"/>
          <w:b/>
          <w:i/>
          <w:sz w:val="20"/>
          <w:szCs w:val="20"/>
          <w:lang w:val="en-US" w:eastAsia="ru-RU"/>
        </w:rPr>
      </w:pPr>
      <w:proofErr w:type="gramStart"/>
      <w:r w:rsidRPr="001677B4">
        <w:rPr>
          <w:rFonts w:ascii="Times New Roman" w:hAnsi="Times New Roman"/>
          <w:b/>
          <w:i/>
          <w:szCs w:val="20"/>
          <w:lang w:val="en-US" w:eastAsia="ru-RU"/>
        </w:rPr>
        <w:t>Figure 3.</w:t>
      </w:r>
      <w:proofErr w:type="gramEnd"/>
      <w:r w:rsidRPr="001677B4">
        <w:rPr>
          <w:rFonts w:ascii="Times New Roman" w:hAnsi="Times New Roman"/>
          <w:b/>
          <w:i/>
          <w:szCs w:val="20"/>
          <w:lang w:val="en-US" w:eastAsia="ru-RU"/>
        </w:rPr>
        <w:t xml:space="preserve">  Quarterly dynamics of the member-banks’ classification within the “BATA” system</w:t>
      </w:r>
    </w:p>
    <w:p w:rsidR="005A63A3" w:rsidRPr="005A63A3" w:rsidRDefault="009C0CEF" w:rsidP="005A63A3">
      <w:pPr>
        <w:spacing w:after="0"/>
        <w:jc w:val="center"/>
        <w:rPr>
          <w:rFonts w:ascii="Times New Roman" w:eastAsia="Times New Roman" w:hAnsi="Times New Roman" w:cs="Times New Roman"/>
          <w:sz w:val="24"/>
          <w:szCs w:val="24"/>
          <w:lang w:eastAsia="ru-RU"/>
        </w:rPr>
      </w:pPr>
      <w:r w:rsidRPr="009C0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ACBE582" wp14:editId="2B30AEE7">
                <wp:simplePos x="0" y="0"/>
                <wp:positionH relativeFrom="column">
                  <wp:posOffset>4642485</wp:posOffset>
                </wp:positionH>
                <wp:positionV relativeFrom="paragraph">
                  <wp:posOffset>2478776</wp:posOffset>
                </wp:positionV>
                <wp:extent cx="603250" cy="267335"/>
                <wp:effectExtent l="0" t="0" r="635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7335"/>
                        </a:xfrm>
                        <a:prstGeom prst="rect">
                          <a:avLst/>
                        </a:prstGeom>
                        <a:solidFill>
                          <a:srgbClr val="FFFFFF"/>
                        </a:solidFill>
                        <a:ln w="9525">
                          <a:noFill/>
                          <a:miter lim="800000"/>
                          <a:headEnd/>
                          <a:tailEnd/>
                        </a:ln>
                      </wps:spPr>
                      <wps:txb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2</w:t>
                            </w:r>
                            <w:r w:rsidRPr="009C0CEF">
                              <w:rPr>
                                <w:rFonts w:ascii="Times New Roman" w:hAnsi="Times New Roman" w:cs="Times New Roman"/>
                                <w:sz w:val="18"/>
                                <w:lang w:val="en-US"/>
                              </w:rPr>
                              <w:t>qr. 1</w:t>
                            </w:r>
                            <w:r>
                              <w:rPr>
                                <w:rFonts w:ascii="Times New Roman" w:hAnsi="Times New Roman" w:cs="Times New Roman"/>
                                <w:sz w:val="18"/>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5.55pt;margin-top:195.2pt;width:47.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" stroked="f">
                <v:textbo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2</w:t>
                      </w:r>
                      <w:r w:rsidRPr="009C0CEF">
                        <w:rPr>
                          <w:rFonts w:ascii="Times New Roman" w:hAnsi="Times New Roman" w:cs="Times New Roman"/>
                          <w:sz w:val="18"/>
                          <w:lang w:val="en-US"/>
                        </w:rPr>
                        <w:t>qr. 1</w:t>
                      </w:r>
                      <w:r>
                        <w:rPr>
                          <w:rFonts w:ascii="Times New Roman" w:hAnsi="Times New Roman" w:cs="Times New Roman"/>
                          <w:sz w:val="18"/>
                          <w:lang w:val="en-US"/>
                        </w:rPr>
                        <w:t>4</w:t>
                      </w:r>
                    </w:p>
                  </w:txbxContent>
                </v:textbox>
              </v:shape>
            </w:pict>
          </mc:Fallback>
        </mc:AlternateContent>
      </w:r>
      <w:r w:rsidRPr="009C0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E88EDEF" wp14:editId="561CBEB8">
                <wp:simplePos x="0" y="0"/>
                <wp:positionH relativeFrom="column">
                  <wp:posOffset>3952240</wp:posOffset>
                </wp:positionH>
                <wp:positionV relativeFrom="paragraph">
                  <wp:posOffset>2478968</wp:posOffset>
                </wp:positionV>
                <wp:extent cx="603250" cy="267335"/>
                <wp:effectExtent l="0" t="0" r="635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7335"/>
                        </a:xfrm>
                        <a:prstGeom prst="rect">
                          <a:avLst/>
                        </a:prstGeom>
                        <a:solidFill>
                          <a:srgbClr val="FFFFFF"/>
                        </a:solidFill>
                        <a:ln w="9525">
                          <a:noFill/>
                          <a:miter lim="800000"/>
                          <a:headEnd/>
                          <a:tailEnd/>
                        </a:ln>
                      </wps:spPr>
                      <wps:txb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1</w:t>
                            </w:r>
                            <w:r w:rsidRPr="009C0CEF">
                              <w:rPr>
                                <w:rFonts w:ascii="Times New Roman" w:hAnsi="Times New Roman" w:cs="Times New Roman"/>
                                <w:sz w:val="18"/>
                                <w:lang w:val="en-US"/>
                              </w:rPr>
                              <w:t>qr. 1</w:t>
                            </w:r>
                            <w:r>
                              <w:rPr>
                                <w:rFonts w:ascii="Times New Roman" w:hAnsi="Times New Roman" w:cs="Times New Roman"/>
                                <w:sz w:val="18"/>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1.2pt;margin-top:195.2pt;width:47.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" stroked="f">
                <v:textbo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1</w:t>
                      </w:r>
                      <w:r w:rsidRPr="009C0CEF">
                        <w:rPr>
                          <w:rFonts w:ascii="Times New Roman" w:hAnsi="Times New Roman" w:cs="Times New Roman"/>
                          <w:sz w:val="18"/>
                          <w:lang w:val="en-US"/>
                        </w:rPr>
                        <w:t>qr. 1</w:t>
                      </w:r>
                      <w:r>
                        <w:rPr>
                          <w:rFonts w:ascii="Times New Roman" w:hAnsi="Times New Roman" w:cs="Times New Roman"/>
                          <w:sz w:val="18"/>
                          <w:lang w:val="en-US"/>
                        </w:rPr>
                        <w:t>4</w:t>
                      </w:r>
                    </w:p>
                  </w:txbxContent>
                </v:textbox>
              </v:shape>
            </w:pict>
          </mc:Fallback>
        </mc:AlternateContent>
      </w:r>
      <w:r w:rsidRPr="009C0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0260858" wp14:editId="1E1AC5D4">
                <wp:simplePos x="0" y="0"/>
                <wp:positionH relativeFrom="column">
                  <wp:posOffset>3132035</wp:posOffset>
                </wp:positionH>
                <wp:positionV relativeFrom="paragraph">
                  <wp:posOffset>2470090</wp:posOffset>
                </wp:positionV>
                <wp:extent cx="603250" cy="267335"/>
                <wp:effectExtent l="0" t="0" r="635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7335"/>
                        </a:xfrm>
                        <a:prstGeom prst="rect">
                          <a:avLst/>
                        </a:prstGeom>
                        <a:solidFill>
                          <a:srgbClr val="FFFFFF"/>
                        </a:solidFill>
                        <a:ln w="9525">
                          <a:noFill/>
                          <a:miter lim="800000"/>
                          <a:headEnd/>
                          <a:tailEnd/>
                        </a:ln>
                      </wps:spPr>
                      <wps:txb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4</w:t>
                            </w:r>
                            <w:r w:rsidRPr="009C0CEF">
                              <w:rPr>
                                <w:rFonts w:ascii="Times New Roman" w:hAnsi="Times New Roman" w:cs="Times New Roman"/>
                                <w:sz w:val="18"/>
                                <w:lang w:val="en-US"/>
                              </w:rPr>
                              <w:t>qr.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6.6pt;margin-top:194.5pt;width:47.5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" stroked="f">
                <v:textbo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4</w:t>
                      </w:r>
                      <w:r w:rsidRPr="009C0CEF">
                        <w:rPr>
                          <w:rFonts w:ascii="Times New Roman" w:hAnsi="Times New Roman" w:cs="Times New Roman"/>
                          <w:sz w:val="18"/>
                          <w:lang w:val="en-US"/>
                        </w:rPr>
                        <w:t>qr. 13</w:t>
                      </w:r>
                    </w:p>
                  </w:txbxContent>
                </v:textbox>
              </v:shape>
            </w:pict>
          </mc:Fallback>
        </mc:AlternateContent>
      </w:r>
      <w:r w:rsidRPr="009C0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613E824" wp14:editId="64BD62CD">
                <wp:simplePos x="0" y="0"/>
                <wp:positionH relativeFrom="column">
                  <wp:posOffset>2416175</wp:posOffset>
                </wp:positionH>
                <wp:positionV relativeFrom="paragraph">
                  <wp:posOffset>2470234</wp:posOffset>
                </wp:positionV>
                <wp:extent cx="603250" cy="267335"/>
                <wp:effectExtent l="0" t="0" r="635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7335"/>
                        </a:xfrm>
                        <a:prstGeom prst="rect">
                          <a:avLst/>
                        </a:prstGeom>
                        <a:solidFill>
                          <a:srgbClr val="FFFFFF"/>
                        </a:solidFill>
                        <a:ln w="9525">
                          <a:noFill/>
                          <a:miter lim="800000"/>
                          <a:headEnd/>
                          <a:tailEnd/>
                        </a:ln>
                      </wps:spPr>
                      <wps:txb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3</w:t>
                            </w:r>
                            <w:r w:rsidRPr="009C0CEF">
                              <w:rPr>
                                <w:rFonts w:ascii="Times New Roman" w:hAnsi="Times New Roman" w:cs="Times New Roman"/>
                                <w:sz w:val="18"/>
                                <w:lang w:val="en-US"/>
                              </w:rPr>
                              <w:t>qr.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0.25pt;margin-top:194.5pt;width:47.5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" stroked="f">
                <v:textbo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3</w:t>
                      </w:r>
                      <w:r w:rsidRPr="009C0CEF">
                        <w:rPr>
                          <w:rFonts w:ascii="Times New Roman" w:hAnsi="Times New Roman" w:cs="Times New Roman"/>
                          <w:sz w:val="18"/>
                          <w:lang w:val="en-US"/>
                        </w:rPr>
                        <w:t>qr. 13</w:t>
                      </w:r>
                    </w:p>
                  </w:txbxContent>
                </v:textbox>
              </v:shape>
            </w:pict>
          </mc:Fallback>
        </mc:AlternateContent>
      </w:r>
      <w:r w:rsidRPr="009C0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A5C9158" wp14:editId="4C40E231">
                <wp:simplePos x="0" y="0"/>
                <wp:positionH relativeFrom="column">
                  <wp:posOffset>1609090</wp:posOffset>
                </wp:positionH>
                <wp:positionV relativeFrom="paragraph">
                  <wp:posOffset>2473409</wp:posOffset>
                </wp:positionV>
                <wp:extent cx="603250" cy="267335"/>
                <wp:effectExtent l="0" t="0" r="635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7335"/>
                        </a:xfrm>
                        <a:prstGeom prst="rect">
                          <a:avLst/>
                        </a:prstGeom>
                        <a:solidFill>
                          <a:srgbClr val="FFFFFF"/>
                        </a:solidFill>
                        <a:ln w="9525">
                          <a:noFill/>
                          <a:miter lim="800000"/>
                          <a:headEnd/>
                          <a:tailEnd/>
                        </a:ln>
                      </wps:spPr>
                      <wps:txb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2</w:t>
                            </w:r>
                            <w:r w:rsidRPr="009C0CEF">
                              <w:rPr>
                                <w:rFonts w:ascii="Times New Roman" w:hAnsi="Times New Roman" w:cs="Times New Roman"/>
                                <w:sz w:val="18"/>
                                <w:lang w:val="en-US"/>
                              </w:rPr>
                              <w:t>qr.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7pt;margin-top:194.75pt;width:47.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" stroked="f">
                <v:textbox>
                  <w:txbxContent>
                    <w:p w:rsidR="009C0CEF" w:rsidRPr="009C0CEF" w:rsidRDefault="009C0CEF" w:rsidP="009C0CEF">
                      <w:pPr>
                        <w:ind w:right="-20"/>
                        <w:rPr>
                          <w:rFonts w:ascii="Times New Roman" w:hAnsi="Times New Roman" w:cs="Times New Roman"/>
                          <w:sz w:val="18"/>
                          <w:lang w:val="en-US"/>
                        </w:rPr>
                      </w:pPr>
                      <w:r>
                        <w:rPr>
                          <w:rFonts w:ascii="Times New Roman" w:hAnsi="Times New Roman" w:cs="Times New Roman"/>
                          <w:sz w:val="18"/>
                          <w:lang w:val="en-US"/>
                        </w:rPr>
                        <w:t>2</w:t>
                      </w:r>
                      <w:r w:rsidRPr="009C0CEF">
                        <w:rPr>
                          <w:rFonts w:ascii="Times New Roman" w:hAnsi="Times New Roman" w:cs="Times New Roman"/>
                          <w:sz w:val="18"/>
                          <w:lang w:val="en-US"/>
                        </w:rPr>
                        <w:t>qr. 13</w:t>
                      </w:r>
                    </w:p>
                  </w:txbxContent>
                </v:textbox>
              </v:shape>
            </w:pict>
          </mc:Fallback>
        </mc:AlternateContent>
      </w:r>
      <w:r w:rsidR="00CB50C5" w:rsidRPr="004573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AA3C034" wp14:editId="1711493C">
                <wp:simplePos x="0" y="0"/>
                <wp:positionH relativeFrom="column">
                  <wp:posOffset>860425</wp:posOffset>
                </wp:positionH>
                <wp:positionV relativeFrom="paragraph">
                  <wp:posOffset>2473781</wp:posOffset>
                </wp:positionV>
                <wp:extent cx="603849" cy="267419"/>
                <wp:effectExtent l="0" t="0" r="635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67419"/>
                        </a:xfrm>
                        <a:prstGeom prst="rect">
                          <a:avLst/>
                        </a:prstGeom>
                        <a:solidFill>
                          <a:srgbClr val="FFFFFF"/>
                        </a:solidFill>
                        <a:ln w="9525">
                          <a:noFill/>
                          <a:miter lim="800000"/>
                          <a:headEnd/>
                          <a:tailEnd/>
                        </a:ln>
                      </wps:spPr>
                      <wps:txbx>
                        <w:txbxContent>
                          <w:p w:rsidR="00CB50C5" w:rsidRPr="009C0CEF" w:rsidRDefault="009C0CEF" w:rsidP="009C0CEF">
                            <w:pPr>
                              <w:ind w:right="-20"/>
                              <w:rPr>
                                <w:rFonts w:ascii="Times New Roman" w:hAnsi="Times New Roman" w:cs="Times New Roman"/>
                                <w:sz w:val="18"/>
                                <w:lang w:val="en-US"/>
                              </w:rPr>
                            </w:pPr>
                            <w:r w:rsidRPr="009C0CEF">
                              <w:rPr>
                                <w:rFonts w:ascii="Times New Roman" w:hAnsi="Times New Roman" w:cs="Times New Roman"/>
                                <w:sz w:val="18"/>
                                <w:lang w:val="en-US"/>
                              </w:rPr>
                              <w:t>1qr.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7.75pt;margin-top:194.8pt;width:47.5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" stroked="f">
                <v:textbox>
                  <w:txbxContent>
                    <w:p w:rsidR="00CB50C5" w:rsidRPr="009C0CEF" w:rsidRDefault="009C0CEF" w:rsidP="009C0CEF">
                      <w:pPr>
                        <w:ind w:right="-20"/>
                        <w:rPr>
                          <w:rFonts w:ascii="Times New Roman" w:hAnsi="Times New Roman" w:cs="Times New Roman"/>
                          <w:sz w:val="18"/>
                          <w:lang w:val="en-US"/>
                        </w:rPr>
                      </w:pPr>
                      <w:r w:rsidRPr="009C0CEF">
                        <w:rPr>
                          <w:rFonts w:ascii="Times New Roman" w:hAnsi="Times New Roman" w:cs="Times New Roman"/>
                          <w:sz w:val="18"/>
                          <w:lang w:val="en-US"/>
                        </w:rPr>
                        <w:t>1qr. 13</w:t>
                      </w:r>
                    </w:p>
                  </w:txbxContent>
                </v:textbox>
              </v:shape>
            </w:pict>
          </mc:Fallback>
        </mc:AlternateContent>
      </w:r>
      <w:r w:rsidR="00CB50C5">
        <w:rPr>
          <w:noProof/>
          <w:lang w:eastAsia="ru-RU"/>
        </w:rPr>
        <mc:AlternateContent>
          <mc:Choice Requires="wps">
            <w:drawing>
              <wp:anchor distT="0" distB="0" distL="114300" distR="114300" simplePos="0" relativeHeight="251675648" behindDoc="0" locked="0" layoutInCell="1" allowOverlap="1" wp14:anchorId="501D2BC4" wp14:editId="0A24E66F">
                <wp:simplePos x="0" y="0"/>
                <wp:positionH relativeFrom="column">
                  <wp:posOffset>4462457</wp:posOffset>
                </wp:positionH>
                <wp:positionV relativeFrom="paragraph">
                  <wp:posOffset>2738755</wp:posOffset>
                </wp:positionV>
                <wp:extent cx="586105" cy="224155"/>
                <wp:effectExtent l="0" t="0" r="4445" b="444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24155"/>
                        </a:xfrm>
                        <a:prstGeom prst="rect">
                          <a:avLst/>
                        </a:prstGeom>
                        <a:solidFill>
                          <a:srgbClr val="FFFFFF"/>
                        </a:solidFill>
                        <a:ln w="9525">
                          <a:noFill/>
                          <a:miter lim="800000"/>
                          <a:headEnd/>
                          <a:tailEnd/>
                        </a:ln>
                      </wps:spPr>
                      <wps:txbx>
                        <w:txbxContent>
                          <w:p w:rsidR="00CB50C5" w:rsidRDefault="00CB50C5" w:rsidP="00CB50C5">
                            <w:pPr>
                              <w:pStyle w:val="ab"/>
                              <w:spacing w:before="0" w:beforeAutospacing="0" w:after="0" w:afterAutospacing="0"/>
                            </w:pPr>
                            <w:proofErr w:type="gramStart"/>
                            <w:r>
                              <w:rPr>
                                <w:rFonts w:eastAsia="+mn-ea"/>
                                <w:sz w:val="16"/>
                                <w:szCs w:val="16"/>
                                <w:lang w:val="en-US"/>
                              </w:rPr>
                              <w:t>Group  S</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6" type="#_x0000_t202" style="position:absolute;left:0;text-align:left;margin-left:351.35pt;margin-top:215.65pt;width:46.15pt;height:1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" stroked="f">
                <v:textbox>
                  <w:txbxContent>
                    <w:p w:rsidR="00CB50C5" w:rsidRDefault="00CB50C5" w:rsidP="00CB50C5">
                      <w:pPr>
                        <w:pStyle w:val="ab"/>
                        <w:spacing w:before="0" w:beforeAutospacing="0" w:after="0" w:afterAutospacing="0"/>
                      </w:pPr>
                      <w:proofErr w:type="gramStart"/>
                      <w:r>
                        <w:rPr>
                          <w:rFonts w:eastAsia="+mn-ea"/>
                          <w:sz w:val="16"/>
                          <w:szCs w:val="16"/>
                          <w:lang w:val="en-US"/>
                        </w:rPr>
                        <w:t>Group  S</w:t>
                      </w:r>
                      <w:proofErr w:type="gramEnd"/>
                    </w:p>
                  </w:txbxContent>
                </v:textbox>
              </v:shape>
            </w:pict>
          </mc:Fallback>
        </mc:AlternateContent>
      </w:r>
      <w:r w:rsidR="00CB50C5">
        <w:rPr>
          <w:noProof/>
          <w:lang w:eastAsia="ru-RU"/>
        </w:rPr>
        <mc:AlternateContent>
          <mc:Choice Requires="wps">
            <w:drawing>
              <wp:anchor distT="0" distB="0" distL="114300" distR="114300" simplePos="0" relativeHeight="251673600" behindDoc="0" locked="0" layoutInCell="1" allowOverlap="1" wp14:anchorId="36AD815A" wp14:editId="39483782">
                <wp:simplePos x="0" y="0"/>
                <wp:positionH relativeFrom="column">
                  <wp:posOffset>3802380</wp:posOffset>
                </wp:positionH>
                <wp:positionV relativeFrom="paragraph">
                  <wp:posOffset>2735161</wp:posOffset>
                </wp:positionV>
                <wp:extent cx="586105" cy="224155"/>
                <wp:effectExtent l="0" t="0" r="4445" b="444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24155"/>
                        </a:xfrm>
                        <a:prstGeom prst="rect">
                          <a:avLst/>
                        </a:prstGeom>
                        <a:solidFill>
                          <a:srgbClr val="FFFFFF"/>
                        </a:solidFill>
                        <a:ln w="9525">
                          <a:noFill/>
                          <a:miter lim="800000"/>
                          <a:headEnd/>
                          <a:tailEnd/>
                        </a:ln>
                      </wps:spPr>
                      <wps:txbx>
                        <w:txbxContent>
                          <w:p w:rsidR="00CB50C5" w:rsidRDefault="00CB50C5" w:rsidP="00CB50C5">
                            <w:pPr>
                              <w:pStyle w:val="ab"/>
                              <w:spacing w:before="0" w:beforeAutospacing="0" w:after="0" w:afterAutospacing="0"/>
                            </w:pPr>
                            <w:proofErr w:type="gramStart"/>
                            <w:r>
                              <w:rPr>
                                <w:rFonts w:eastAsia="+mn-ea"/>
                                <w:sz w:val="16"/>
                                <w:szCs w:val="16"/>
                                <w:lang w:val="en-US"/>
                              </w:rPr>
                              <w:t>Group  E</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left:0;text-align:left;margin-left:299.4pt;margin-top:215.35pt;width:46.15pt;height:1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" stroked="f">
                <v:textbox>
                  <w:txbxContent>
                    <w:p w:rsidR="00CB50C5" w:rsidRDefault="00CB50C5" w:rsidP="00CB50C5">
                      <w:pPr>
                        <w:pStyle w:val="ab"/>
                        <w:spacing w:before="0" w:beforeAutospacing="0" w:after="0" w:afterAutospacing="0"/>
                      </w:pPr>
                      <w:proofErr w:type="gramStart"/>
                      <w:r>
                        <w:rPr>
                          <w:rFonts w:eastAsia="+mn-ea"/>
                          <w:sz w:val="16"/>
                          <w:szCs w:val="16"/>
                          <w:lang w:val="en-US"/>
                        </w:rPr>
                        <w:t>Group  E</w:t>
                      </w:r>
                      <w:proofErr w:type="gramEnd"/>
                    </w:p>
                  </w:txbxContent>
                </v:textbox>
              </v:shape>
            </w:pict>
          </mc:Fallback>
        </mc:AlternateContent>
      </w:r>
      <w:r w:rsidR="00CB50C5">
        <w:rPr>
          <w:noProof/>
          <w:lang w:eastAsia="ru-RU"/>
        </w:rPr>
        <mc:AlternateContent>
          <mc:Choice Requires="wps">
            <w:drawing>
              <wp:anchor distT="0" distB="0" distL="114300" distR="114300" simplePos="0" relativeHeight="251671552" behindDoc="0" locked="0" layoutInCell="1" allowOverlap="1" wp14:anchorId="22863997" wp14:editId="125C14A6">
                <wp:simplePos x="0" y="0"/>
                <wp:positionH relativeFrom="column">
                  <wp:posOffset>3151457</wp:posOffset>
                </wp:positionH>
                <wp:positionV relativeFrom="paragraph">
                  <wp:posOffset>2738755</wp:posOffset>
                </wp:positionV>
                <wp:extent cx="586105" cy="224155"/>
                <wp:effectExtent l="0" t="0" r="4445" b="444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24155"/>
                        </a:xfrm>
                        <a:prstGeom prst="rect">
                          <a:avLst/>
                        </a:prstGeom>
                        <a:solidFill>
                          <a:srgbClr val="FFFFFF"/>
                        </a:solidFill>
                        <a:ln w="9525">
                          <a:noFill/>
                          <a:miter lim="800000"/>
                          <a:headEnd/>
                          <a:tailEnd/>
                        </a:ln>
                      </wps:spPr>
                      <wps:txbx>
                        <w:txbxContent>
                          <w:p w:rsidR="00CB50C5" w:rsidRDefault="00CB50C5" w:rsidP="00CB50C5">
                            <w:pPr>
                              <w:pStyle w:val="ab"/>
                              <w:spacing w:before="0" w:beforeAutospacing="0" w:after="0" w:afterAutospacing="0"/>
                            </w:pPr>
                            <w:proofErr w:type="gramStart"/>
                            <w:r>
                              <w:rPr>
                                <w:rFonts w:eastAsia="+mn-ea"/>
                                <w:sz w:val="16"/>
                                <w:szCs w:val="16"/>
                                <w:lang w:val="en-US"/>
                              </w:rPr>
                              <w:t>Group  D</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8" type="#_x0000_t202" style="position:absolute;left:0;text-align:left;margin-left:248.15pt;margin-top:215.65pt;width:46.15pt;height:1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" stroked="f">
                <v:textbox>
                  <w:txbxContent>
                    <w:p w:rsidR="00CB50C5" w:rsidRDefault="00CB50C5" w:rsidP="00CB50C5">
                      <w:pPr>
                        <w:pStyle w:val="ab"/>
                        <w:spacing w:before="0" w:beforeAutospacing="0" w:after="0" w:afterAutospacing="0"/>
                      </w:pPr>
                      <w:proofErr w:type="gramStart"/>
                      <w:r>
                        <w:rPr>
                          <w:rFonts w:eastAsia="+mn-ea"/>
                          <w:sz w:val="16"/>
                          <w:szCs w:val="16"/>
                          <w:lang w:val="en-US"/>
                        </w:rPr>
                        <w:t>Group  D</w:t>
                      </w:r>
                      <w:proofErr w:type="gramEnd"/>
                    </w:p>
                  </w:txbxContent>
                </v:textbox>
              </v:shape>
            </w:pict>
          </mc:Fallback>
        </mc:AlternateContent>
      </w:r>
      <w:r w:rsidR="0045735D">
        <w:rPr>
          <w:noProof/>
          <w:lang w:eastAsia="ru-RU"/>
        </w:rPr>
        <mc:AlternateContent>
          <mc:Choice Requires="wps">
            <w:drawing>
              <wp:anchor distT="0" distB="0" distL="114300" distR="114300" simplePos="0" relativeHeight="251663360" behindDoc="0" locked="0" layoutInCell="1" allowOverlap="1" wp14:anchorId="7190E005" wp14:editId="5DEF171A">
                <wp:simplePos x="0" y="0"/>
                <wp:positionH relativeFrom="column">
                  <wp:posOffset>2464435</wp:posOffset>
                </wp:positionH>
                <wp:positionV relativeFrom="paragraph">
                  <wp:posOffset>2735521</wp:posOffset>
                </wp:positionV>
                <wp:extent cx="586596" cy="224155"/>
                <wp:effectExtent l="0" t="0" r="4445" b="444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 cy="224155"/>
                        </a:xfrm>
                        <a:prstGeom prst="rect">
                          <a:avLst/>
                        </a:prstGeom>
                        <a:solidFill>
                          <a:srgbClr val="FFFFFF"/>
                        </a:solidFill>
                        <a:ln w="9525">
                          <a:noFill/>
                          <a:miter lim="800000"/>
                          <a:headEnd/>
                          <a:tailEnd/>
                        </a:ln>
                      </wps:spPr>
                      <wps:txbx>
                        <w:txbxContent>
                          <w:p w:rsidR="0045735D" w:rsidRDefault="0045735D" w:rsidP="0045735D">
                            <w:pPr>
                              <w:pStyle w:val="ab"/>
                              <w:spacing w:before="0" w:beforeAutospacing="0" w:after="0" w:afterAutospacing="0"/>
                            </w:pPr>
                            <w:proofErr w:type="gramStart"/>
                            <w:r>
                              <w:rPr>
                                <w:rFonts w:eastAsia="+mn-ea"/>
                                <w:sz w:val="16"/>
                                <w:szCs w:val="16"/>
                                <w:lang w:val="en-US"/>
                              </w:rPr>
                              <w:t>Group  C</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9" type="#_x0000_t202" style="position:absolute;left:0;text-align:left;margin-left:194.05pt;margin-top:215.4pt;width:46.2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" stroked="f">
                <v:textbox>
                  <w:txbxContent>
                    <w:p w:rsidR="0045735D" w:rsidRDefault="0045735D" w:rsidP="0045735D">
                      <w:pPr>
                        <w:pStyle w:val="ab"/>
                        <w:spacing w:before="0" w:beforeAutospacing="0" w:after="0" w:afterAutospacing="0"/>
                      </w:pPr>
                      <w:proofErr w:type="gramStart"/>
                      <w:r>
                        <w:rPr>
                          <w:rFonts w:eastAsia="+mn-ea"/>
                          <w:sz w:val="16"/>
                          <w:szCs w:val="16"/>
                          <w:lang w:val="en-US"/>
                        </w:rPr>
                        <w:t>Group  C</w:t>
                      </w:r>
                      <w:proofErr w:type="gramEnd"/>
                    </w:p>
                  </w:txbxContent>
                </v:textbox>
              </v:shape>
            </w:pict>
          </mc:Fallback>
        </mc:AlternateContent>
      </w:r>
      <w:r w:rsidR="0045735D" w:rsidRPr="004573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62E5428" wp14:editId="2A5F46F1">
                <wp:simplePos x="0" y="0"/>
                <wp:positionH relativeFrom="column">
                  <wp:posOffset>1119553</wp:posOffset>
                </wp:positionH>
                <wp:positionV relativeFrom="paragraph">
                  <wp:posOffset>2736598</wp:posOffset>
                </wp:positionV>
                <wp:extent cx="552090" cy="224287"/>
                <wp:effectExtent l="0" t="0" r="635" b="444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224287"/>
                        </a:xfrm>
                        <a:prstGeom prst="rect">
                          <a:avLst/>
                        </a:prstGeom>
                        <a:solidFill>
                          <a:srgbClr val="FFFFFF"/>
                        </a:solidFill>
                        <a:ln w="9525">
                          <a:noFill/>
                          <a:miter lim="800000"/>
                          <a:headEnd/>
                          <a:tailEnd/>
                        </a:ln>
                      </wps:spPr>
                      <wps:txbx>
                        <w:txbxContent>
                          <w:p w:rsidR="0045735D" w:rsidRPr="0045735D" w:rsidRDefault="0045735D">
                            <w:pPr>
                              <w:rPr>
                                <w:rFonts w:ascii="Times New Roman" w:hAnsi="Times New Roman" w:cs="Times New Roman"/>
                                <w:sz w:val="16"/>
                                <w:lang w:val="en-US"/>
                              </w:rPr>
                            </w:pPr>
                            <w:r w:rsidRPr="0045735D">
                              <w:rPr>
                                <w:rFonts w:ascii="Times New Roman" w:hAnsi="Times New Roman" w:cs="Times New Roman"/>
                                <w:sz w:val="16"/>
                                <w:lang w:val="en-US"/>
                              </w:rPr>
                              <w:t>Group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8.15pt;margin-top:215.5pt;width:43.4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" stroked="f">
                <v:textbox>
                  <w:txbxContent>
                    <w:p w:rsidR="0045735D" w:rsidRPr="0045735D" w:rsidRDefault="0045735D">
                      <w:pPr>
                        <w:rPr>
                          <w:rFonts w:ascii="Times New Roman" w:hAnsi="Times New Roman" w:cs="Times New Roman"/>
                          <w:sz w:val="16"/>
                          <w:lang w:val="en-US"/>
                        </w:rPr>
                      </w:pPr>
                      <w:r w:rsidRPr="0045735D">
                        <w:rPr>
                          <w:rFonts w:ascii="Times New Roman" w:hAnsi="Times New Roman" w:cs="Times New Roman"/>
                          <w:sz w:val="16"/>
                          <w:lang w:val="en-US"/>
                        </w:rPr>
                        <w:t>Group A</w:t>
                      </w:r>
                    </w:p>
                  </w:txbxContent>
                </v:textbox>
              </v:shape>
            </w:pict>
          </mc:Fallback>
        </mc:AlternateContent>
      </w:r>
      <w:bookmarkStart w:id="0" w:name="_GoBack"/>
      <w:r w:rsidR="005A63A3">
        <w:rPr>
          <w:rFonts w:ascii="Calibri" w:eastAsia="Calibri" w:hAnsi="Calibri" w:cs="Times New Roman"/>
          <w:noProof/>
          <w:lang w:eastAsia="ru-RU"/>
        </w:rPr>
        <w:drawing>
          <wp:inline distT="0" distB="0" distL="0" distR="0" wp14:anchorId="14827B92" wp14:editId="6CCB58DE">
            <wp:extent cx="4962525" cy="3028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A94C72" w:rsidRPr="000615E3" w:rsidRDefault="00A94C72" w:rsidP="00A94C72">
      <w:pPr>
        <w:spacing w:after="120"/>
        <w:ind w:firstLine="567"/>
        <w:jc w:val="both"/>
        <w:rPr>
          <w:rFonts w:ascii="Times New Roman" w:eastAsia="Times New Roman" w:hAnsi="Times New Roman" w:cs="Times New Roman"/>
          <w:sz w:val="24"/>
          <w:szCs w:val="24"/>
          <w:lang w:val="en-US" w:eastAsia="ru-RU"/>
        </w:rPr>
      </w:pPr>
      <w:r w:rsidRPr="000615E3">
        <w:rPr>
          <w:rFonts w:ascii="Times New Roman" w:eastAsia="Times New Roman" w:hAnsi="Times New Roman" w:cs="Times New Roman"/>
          <w:sz w:val="24"/>
          <w:szCs w:val="24"/>
          <w:lang w:val="en-US" w:eastAsia="ru-RU"/>
        </w:rPr>
        <w:lastRenderedPageBreak/>
        <w:t xml:space="preserve">The cumulative mandatory calendar premiums paid by the member-banks over the </w:t>
      </w:r>
      <w:proofErr w:type="gramStart"/>
      <w:r>
        <w:rPr>
          <w:rFonts w:ascii="Times New Roman" w:eastAsia="Times New Roman" w:hAnsi="Times New Roman" w:cs="Times New Roman"/>
          <w:sz w:val="24"/>
          <w:szCs w:val="24"/>
          <w:lang w:val="en-US" w:eastAsia="ru-RU"/>
        </w:rPr>
        <w:t>2</w:t>
      </w:r>
      <w:r w:rsidRPr="00FB1F5A">
        <w:rPr>
          <w:rFonts w:ascii="Times New Roman" w:eastAsia="Times New Roman" w:hAnsi="Times New Roman" w:cs="Times New Roman"/>
          <w:sz w:val="24"/>
          <w:szCs w:val="24"/>
          <w:vertAlign w:val="superscript"/>
          <w:lang w:val="en-US" w:eastAsia="ru-RU"/>
        </w:rPr>
        <w:t>nd</w:t>
      </w:r>
      <w:r>
        <w:rPr>
          <w:rFonts w:ascii="Times New Roman" w:eastAsia="Times New Roman" w:hAnsi="Times New Roman" w:cs="Times New Roman"/>
          <w:sz w:val="24"/>
          <w:szCs w:val="24"/>
          <w:lang w:val="en-US" w:eastAsia="ru-RU"/>
        </w:rPr>
        <w:t xml:space="preserve"> </w:t>
      </w:r>
      <w:r w:rsidRPr="000615E3">
        <w:rPr>
          <w:rFonts w:ascii="Times New Roman" w:eastAsia="Times New Roman" w:hAnsi="Times New Roman" w:cs="Times New Roman"/>
          <w:sz w:val="24"/>
          <w:szCs w:val="24"/>
          <w:lang w:val="en-US" w:eastAsia="ru-RU"/>
        </w:rPr>
        <w:t xml:space="preserve"> quarter</w:t>
      </w:r>
      <w:proofErr w:type="gramEnd"/>
      <w:r w:rsidRPr="000615E3">
        <w:rPr>
          <w:rFonts w:ascii="Times New Roman" w:eastAsia="Times New Roman" w:hAnsi="Times New Roman" w:cs="Times New Roman"/>
          <w:sz w:val="24"/>
          <w:szCs w:val="24"/>
          <w:lang w:val="en-US" w:eastAsia="ru-RU"/>
        </w:rPr>
        <w:t xml:space="preserve"> of 2014 amounted to </w:t>
      </w:r>
      <w:r>
        <w:rPr>
          <w:rFonts w:ascii="Times New Roman" w:eastAsia="Times New Roman" w:hAnsi="Times New Roman" w:cs="Times New Roman"/>
          <w:sz w:val="24"/>
          <w:szCs w:val="24"/>
          <w:lang w:val="en-US" w:eastAsia="ru-RU"/>
        </w:rPr>
        <w:t>8</w:t>
      </w:r>
      <w:r w:rsidRPr="000615E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7 </w:t>
      </w:r>
      <w:proofErr w:type="spellStart"/>
      <w:r>
        <w:rPr>
          <w:rFonts w:ascii="Times New Roman" w:eastAsia="Times New Roman" w:hAnsi="Times New Roman" w:cs="Times New Roman"/>
          <w:sz w:val="24"/>
          <w:szCs w:val="24"/>
          <w:lang w:val="en-US" w:eastAsia="ru-RU"/>
        </w:rPr>
        <w:t>bln</w:t>
      </w:r>
      <w:proofErr w:type="spellEnd"/>
      <w:r>
        <w:rPr>
          <w:rFonts w:ascii="Times New Roman" w:eastAsia="Times New Roman" w:hAnsi="Times New Roman" w:cs="Times New Roman"/>
          <w:sz w:val="24"/>
          <w:szCs w:val="24"/>
          <w:lang w:val="en-US" w:eastAsia="ru-RU"/>
        </w:rPr>
        <w:t>. tenge, and increased by 1.1 billion tenge as compared with the previous period, mainly because of the deposit base growth and decline of the rating of one of the largest DIS member-bank and corresponding increase of its premium rate.</w:t>
      </w:r>
    </w:p>
    <w:p w:rsidR="00A94C72" w:rsidRPr="000615E3" w:rsidRDefault="00A94C72" w:rsidP="00A94C72">
      <w:pPr>
        <w:tabs>
          <w:tab w:val="left" w:pos="6885"/>
        </w:tabs>
        <w:spacing w:after="120"/>
        <w:ind w:firstLine="567"/>
        <w:jc w:val="both"/>
        <w:rPr>
          <w:rFonts w:ascii="Times New Roman" w:eastAsia="Calibri" w:hAnsi="Times New Roman" w:cs="Times New Roman"/>
          <w:sz w:val="24"/>
          <w:lang w:val="en-US"/>
        </w:rPr>
      </w:pPr>
      <w:r w:rsidRPr="000615E3">
        <w:rPr>
          <w:rFonts w:ascii="Times New Roman" w:eastAsia="Calibri" w:hAnsi="Times New Roman" w:cs="Times New Roman"/>
          <w:sz w:val="24"/>
          <w:lang w:val="en-US"/>
        </w:rPr>
        <w:t xml:space="preserve">As of </w:t>
      </w:r>
      <w:r>
        <w:rPr>
          <w:rFonts w:ascii="Times New Roman" w:eastAsia="Calibri" w:hAnsi="Times New Roman" w:cs="Times New Roman"/>
          <w:sz w:val="24"/>
          <w:lang w:val="en-US"/>
        </w:rPr>
        <w:t>August</w:t>
      </w:r>
      <w:r w:rsidRPr="000615E3">
        <w:rPr>
          <w:rFonts w:ascii="Times New Roman" w:eastAsia="Calibri" w:hAnsi="Times New Roman" w:cs="Times New Roman"/>
          <w:sz w:val="24"/>
          <w:lang w:val="en-US"/>
        </w:rPr>
        <w:t xml:space="preserve"> 1, the cumulative KDIF’s payouts to depositors of JSC “</w:t>
      </w:r>
      <w:proofErr w:type="spellStart"/>
      <w:r w:rsidRPr="000615E3">
        <w:rPr>
          <w:rFonts w:ascii="Times New Roman" w:eastAsia="Calibri" w:hAnsi="Times New Roman" w:cs="Times New Roman"/>
          <w:sz w:val="24"/>
          <w:lang w:val="en-US"/>
        </w:rPr>
        <w:t>Nauryz</w:t>
      </w:r>
      <w:proofErr w:type="spellEnd"/>
      <w:r w:rsidRPr="000615E3">
        <w:rPr>
          <w:rFonts w:ascii="Times New Roman" w:eastAsia="Calibri" w:hAnsi="Times New Roman" w:cs="Times New Roman"/>
          <w:sz w:val="24"/>
          <w:lang w:val="en-US"/>
        </w:rPr>
        <w:t xml:space="preserve"> Bank Kazakhstan” amounted to 679.5 million tenge and to depositors of JSC “</w:t>
      </w:r>
      <w:proofErr w:type="spellStart"/>
      <w:r w:rsidRPr="000615E3">
        <w:rPr>
          <w:rFonts w:ascii="Times New Roman" w:eastAsia="Calibri" w:hAnsi="Times New Roman" w:cs="Times New Roman"/>
          <w:sz w:val="24"/>
          <w:lang w:val="en-US"/>
        </w:rPr>
        <w:t>Valut-Tranzit</w:t>
      </w:r>
      <w:proofErr w:type="spellEnd"/>
      <w:r w:rsidRPr="000615E3">
        <w:rPr>
          <w:rFonts w:ascii="Times New Roman" w:eastAsia="Calibri" w:hAnsi="Times New Roman" w:cs="Times New Roman"/>
          <w:sz w:val="24"/>
          <w:lang w:val="en-US"/>
        </w:rPr>
        <w:t xml:space="preserve"> Bank” totaled 13.9 billion tenge. Reimbursement of the KDIF’s claims to the liquidation commissions of JSC “</w:t>
      </w:r>
      <w:proofErr w:type="spellStart"/>
      <w:r w:rsidRPr="000615E3">
        <w:rPr>
          <w:rFonts w:ascii="Times New Roman" w:eastAsia="Calibri" w:hAnsi="Times New Roman" w:cs="Times New Roman"/>
          <w:sz w:val="24"/>
          <w:lang w:val="en-US"/>
        </w:rPr>
        <w:t>Nauryz</w:t>
      </w:r>
      <w:proofErr w:type="spellEnd"/>
      <w:r w:rsidRPr="000615E3">
        <w:rPr>
          <w:rFonts w:ascii="Times New Roman" w:eastAsia="Calibri" w:hAnsi="Times New Roman" w:cs="Times New Roman"/>
          <w:sz w:val="24"/>
          <w:lang w:val="en-US"/>
        </w:rPr>
        <w:t xml:space="preserve"> Bank Kazakhstan”, JSC “</w:t>
      </w:r>
      <w:proofErr w:type="spellStart"/>
      <w:r w:rsidRPr="000615E3">
        <w:rPr>
          <w:rFonts w:ascii="Times New Roman" w:eastAsia="Calibri" w:hAnsi="Times New Roman" w:cs="Times New Roman"/>
          <w:sz w:val="24"/>
          <w:lang w:val="en-US"/>
        </w:rPr>
        <w:t>Valut-Tranzit</w:t>
      </w:r>
      <w:proofErr w:type="spellEnd"/>
      <w:r w:rsidRPr="000615E3">
        <w:rPr>
          <w:rFonts w:ascii="Times New Roman" w:eastAsia="Calibri" w:hAnsi="Times New Roman" w:cs="Times New Roman"/>
          <w:sz w:val="24"/>
          <w:lang w:val="en-US"/>
        </w:rPr>
        <w:t xml:space="preserve"> Bank” reached 679.4 million tenge (88.01% of the total amount to be recovered from this bank) and 8.</w:t>
      </w:r>
      <w:r>
        <w:rPr>
          <w:rFonts w:ascii="Times New Roman" w:eastAsia="Calibri" w:hAnsi="Times New Roman" w:cs="Times New Roman"/>
          <w:sz w:val="24"/>
          <w:lang w:val="en-US"/>
        </w:rPr>
        <w:t>5</w:t>
      </w:r>
      <w:r w:rsidRPr="000615E3">
        <w:rPr>
          <w:rFonts w:ascii="Times New Roman" w:eastAsia="Calibri" w:hAnsi="Times New Roman" w:cs="Times New Roman"/>
          <w:sz w:val="24"/>
          <w:lang w:val="en-US"/>
        </w:rPr>
        <w:t xml:space="preserve"> billion tenge (</w:t>
      </w:r>
      <w:r>
        <w:rPr>
          <w:rFonts w:ascii="Times New Roman" w:eastAsia="Calibri" w:hAnsi="Times New Roman" w:cs="Times New Roman"/>
          <w:sz w:val="24"/>
          <w:lang w:val="en-US"/>
        </w:rPr>
        <w:t>60.6</w:t>
      </w:r>
      <w:r w:rsidRPr="000615E3">
        <w:rPr>
          <w:rFonts w:ascii="Times New Roman" w:eastAsia="Calibri" w:hAnsi="Times New Roman" w:cs="Times New Roman"/>
          <w:sz w:val="24"/>
          <w:lang w:val="en-US"/>
        </w:rPr>
        <w:t xml:space="preserve">% of the total amount to be recovered), respectively. </w:t>
      </w:r>
    </w:p>
    <w:p w:rsidR="005A63A3" w:rsidRPr="00A94C72" w:rsidRDefault="005A63A3" w:rsidP="005A63A3">
      <w:pPr>
        <w:tabs>
          <w:tab w:val="left" w:pos="6885"/>
        </w:tabs>
        <w:spacing w:after="120"/>
        <w:ind w:firstLine="567"/>
        <w:jc w:val="right"/>
        <w:rPr>
          <w:rFonts w:ascii="Times New Roman" w:eastAsia="Times New Roman" w:hAnsi="Times New Roman" w:cs="Times New Roman"/>
          <w:i/>
          <w:color w:val="0000CC"/>
          <w:sz w:val="24"/>
          <w:szCs w:val="24"/>
          <w:lang w:val="en-US" w:eastAsia="ru-RU"/>
        </w:rPr>
      </w:pPr>
      <w:r w:rsidRPr="00A94C72">
        <w:rPr>
          <w:rFonts w:ascii="Times New Roman" w:eastAsia="Calibri" w:hAnsi="Times New Roman" w:cs="Times New Roman"/>
          <w:sz w:val="24"/>
          <w:szCs w:val="24"/>
          <w:lang w:val="en-US"/>
        </w:rPr>
        <w:br w:type="page"/>
      </w:r>
      <w:r w:rsidR="00BC26DC" w:rsidRPr="00A94C72">
        <w:rPr>
          <w:rFonts w:ascii="Times New Roman" w:eastAsia="Calibri" w:hAnsi="Times New Roman" w:cs="Times New Roman"/>
          <w:i/>
          <w:sz w:val="24"/>
          <w:szCs w:val="24"/>
          <w:lang w:val="en-US"/>
        </w:rPr>
        <w:lastRenderedPageBreak/>
        <w:t>Appendix 1</w:t>
      </w:r>
    </w:p>
    <w:tbl>
      <w:tblPr>
        <w:tblW w:w="9309" w:type="dxa"/>
        <w:tblInd w:w="93" w:type="dxa"/>
        <w:tblLook w:val="04A0" w:firstRow="1" w:lastRow="0" w:firstColumn="1" w:lastColumn="0" w:noHBand="0" w:noVBand="1"/>
      </w:tblPr>
      <w:tblGrid>
        <w:gridCol w:w="15"/>
        <w:gridCol w:w="549"/>
        <w:gridCol w:w="3666"/>
        <w:gridCol w:w="1701"/>
        <w:gridCol w:w="1273"/>
        <w:gridCol w:w="428"/>
        <w:gridCol w:w="1628"/>
        <w:gridCol w:w="49"/>
      </w:tblGrid>
      <w:tr w:rsidR="005A63A3" w:rsidRPr="009C0CEF" w:rsidTr="003514F5">
        <w:trPr>
          <w:gridBefore w:val="1"/>
          <w:gridAfter w:val="1"/>
          <w:wBefore w:w="15" w:type="dxa"/>
          <w:wAfter w:w="49" w:type="dxa"/>
          <w:trHeight w:val="509"/>
        </w:trPr>
        <w:tc>
          <w:tcPr>
            <w:tcW w:w="9245" w:type="dxa"/>
            <w:gridSpan w:val="6"/>
            <w:tcBorders>
              <w:top w:val="nil"/>
              <w:left w:val="nil"/>
              <w:bottom w:val="nil"/>
              <w:right w:val="nil"/>
            </w:tcBorders>
            <w:shd w:val="clear" w:color="auto" w:fill="auto"/>
            <w:vAlign w:val="center"/>
            <w:hideMark/>
          </w:tcPr>
          <w:p w:rsidR="005A63A3" w:rsidRPr="00BC26DC" w:rsidRDefault="00BC26DC" w:rsidP="00CA0B01">
            <w:pPr>
              <w:spacing w:after="0" w:line="240" w:lineRule="auto"/>
              <w:ind w:right="-219"/>
              <w:jc w:val="center"/>
              <w:rPr>
                <w:rFonts w:ascii="Times New Roman" w:eastAsia="Times New Roman" w:hAnsi="Times New Roman" w:cs="Times New Roman"/>
                <w:b/>
                <w:bCs/>
                <w:color w:val="000000"/>
                <w:szCs w:val="24"/>
                <w:lang w:val="en-US" w:eastAsia="ru-RU"/>
              </w:rPr>
            </w:pPr>
            <w:r w:rsidRPr="00BC26DC">
              <w:rPr>
                <w:rFonts w:ascii="Times New Roman" w:eastAsia="Times New Roman" w:hAnsi="Times New Roman" w:cs="Times New Roman"/>
                <w:b/>
                <w:bCs/>
                <w:color w:val="000000"/>
                <w:sz w:val="24"/>
                <w:szCs w:val="24"/>
                <w:lang w:val="en-US" w:eastAsia="ru-RU"/>
              </w:rPr>
              <w:t>Aggregate retail deposits placed with DIS member-banks</w:t>
            </w:r>
          </w:p>
        </w:tc>
      </w:tr>
      <w:tr w:rsidR="005A63A3" w:rsidRPr="005A63A3" w:rsidTr="003514F5">
        <w:trPr>
          <w:gridBefore w:val="1"/>
          <w:gridAfter w:val="1"/>
          <w:wBefore w:w="15" w:type="dxa"/>
          <w:wAfter w:w="49" w:type="dxa"/>
          <w:trHeight w:val="255"/>
        </w:trPr>
        <w:tc>
          <w:tcPr>
            <w:tcW w:w="7189" w:type="dxa"/>
            <w:gridSpan w:val="4"/>
            <w:tcBorders>
              <w:top w:val="nil"/>
              <w:left w:val="nil"/>
              <w:bottom w:val="nil"/>
              <w:right w:val="nil"/>
            </w:tcBorders>
            <w:shd w:val="clear" w:color="auto" w:fill="auto"/>
            <w:vAlign w:val="center"/>
            <w:hideMark/>
          </w:tcPr>
          <w:p w:rsidR="005A63A3" w:rsidRPr="003514F5" w:rsidRDefault="005A63A3" w:rsidP="005A63A3">
            <w:pPr>
              <w:spacing w:after="0" w:line="240" w:lineRule="auto"/>
              <w:jc w:val="center"/>
              <w:rPr>
                <w:rFonts w:ascii="Times New Roman" w:eastAsia="Times New Roman" w:hAnsi="Times New Roman" w:cs="Times New Roman"/>
                <w:b/>
                <w:color w:val="000000"/>
                <w:sz w:val="24"/>
                <w:lang w:eastAsia="ru-RU"/>
              </w:rPr>
            </w:pPr>
            <w:r w:rsidRPr="00BC26DC">
              <w:rPr>
                <w:rFonts w:ascii="Times New Roman" w:eastAsia="Times New Roman" w:hAnsi="Times New Roman" w:cs="Times New Roman"/>
                <w:b/>
                <w:color w:val="000000"/>
                <w:sz w:val="24"/>
                <w:lang w:val="en-US" w:eastAsia="ru-RU"/>
              </w:rPr>
              <w:t xml:space="preserve">                                          </w:t>
            </w:r>
            <w:proofErr w:type="spellStart"/>
            <w:r w:rsidR="00BC26DC" w:rsidRPr="00BC26DC">
              <w:rPr>
                <w:rFonts w:ascii="Times New Roman" w:eastAsia="Times New Roman" w:hAnsi="Times New Roman" w:cs="Times New Roman"/>
                <w:b/>
                <w:color w:val="000000"/>
                <w:sz w:val="24"/>
                <w:lang w:eastAsia="ru-RU"/>
              </w:rPr>
              <w:t>as</w:t>
            </w:r>
            <w:proofErr w:type="spellEnd"/>
            <w:r w:rsidR="00BC26DC" w:rsidRPr="00BC26DC">
              <w:rPr>
                <w:rFonts w:ascii="Times New Roman" w:eastAsia="Times New Roman" w:hAnsi="Times New Roman" w:cs="Times New Roman"/>
                <w:b/>
                <w:color w:val="000000"/>
                <w:sz w:val="24"/>
                <w:lang w:eastAsia="ru-RU"/>
              </w:rPr>
              <w:t xml:space="preserve"> </w:t>
            </w:r>
            <w:proofErr w:type="spellStart"/>
            <w:r w:rsidR="00BC26DC" w:rsidRPr="00BC26DC">
              <w:rPr>
                <w:rFonts w:ascii="Times New Roman" w:eastAsia="Times New Roman" w:hAnsi="Times New Roman" w:cs="Times New Roman"/>
                <w:b/>
                <w:color w:val="000000"/>
                <w:sz w:val="24"/>
                <w:lang w:eastAsia="ru-RU"/>
              </w:rPr>
              <w:t>of</w:t>
            </w:r>
            <w:proofErr w:type="spellEnd"/>
            <w:r w:rsidR="00BC26DC" w:rsidRPr="00BC26DC">
              <w:rPr>
                <w:rFonts w:ascii="Times New Roman" w:eastAsia="Times New Roman" w:hAnsi="Times New Roman" w:cs="Times New Roman"/>
                <w:b/>
                <w:color w:val="000000"/>
                <w:sz w:val="24"/>
                <w:lang w:eastAsia="ru-RU"/>
              </w:rPr>
              <w:t xml:space="preserve"> </w:t>
            </w:r>
            <w:r w:rsidR="00BC26DC">
              <w:rPr>
                <w:rFonts w:ascii="Times New Roman" w:eastAsia="Times New Roman" w:hAnsi="Times New Roman" w:cs="Times New Roman"/>
                <w:b/>
                <w:color w:val="000000"/>
                <w:sz w:val="24"/>
                <w:lang w:val="en-US" w:eastAsia="ru-RU"/>
              </w:rPr>
              <w:t>July</w:t>
            </w:r>
            <w:r w:rsidR="00BC26DC" w:rsidRPr="00BC26DC">
              <w:rPr>
                <w:rFonts w:ascii="Times New Roman" w:eastAsia="Times New Roman" w:hAnsi="Times New Roman" w:cs="Times New Roman"/>
                <w:b/>
                <w:color w:val="000000"/>
                <w:sz w:val="24"/>
                <w:lang w:eastAsia="ru-RU"/>
              </w:rPr>
              <w:t xml:space="preserve"> 1, 2014</w:t>
            </w:r>
          </w:p>
          <w:p w:rsidR="00CA0B01" w:rsidRPr="003514F5" w:rsidRDefault="00CA0B01" w:rsidP="005A63A3">
            <w:pPr>
              <w:spacing w:after="0" w:line="240" w:lineRule="auto"/>
              <w:jc w:val="center"/>
              <w:rPr>
                <w:rFonts w:ascii="Times New Roman" w:eastAsia="Times New Roman" w:hAnsi="Times New Roman" w:cs="Times New Roman"/>
                <w:b/>
                <w:color w:val="000000"/>
                <w:lang w:eastAsia="ru-RU"/>
              </w:rPr>
            </w:pPr>
          </w:p>
        </w:tc>
        <w:tc>
          <w:tcPr>
            <w:tcW w:w="2056" w:type="dxa"/>
            <w:gridSpan w:val="2"/>
            <w:tcBorders>
              <w:top w:val="nil"/>
              <w:left w:val="nil"/>
              <w:bottom w:val="nil"/>
              <w:right w:val="nil"/>
            </w:tcBorders>
            <w:shd w:val="clear" w:color="auto" w:fill="auto"/>
            <w:noWrap/>
            <w:vAlign w:val="bottom"/>
            <w:hideMark/>
          </w:tcPr>
          <w:p w:rsidR="005A63A3" w:rsidRPr="005A63A3" w:rsidRDefault="005A63A3" w:rsidP="005A63A3">
            <w:pPr>
              <w:spacing w:after="0" w:line="240" w:lineRule="auto"/>
              <w:jc w:val="center"/>
              <w:rPr>
                <w:rFonts w:ascii="Times New Roman" w:eastAsia="Times New Roman" w:hAnsi="Times New Roman" w:cs="Times New Roman"/>
                <w:color w:val="000000"/>
                <w:szCs w:val="20"/>
                <w:lang w:eastAsia="ru-RU"/>
              </w:rPr>
            </w:pPr>
          </w:p>
        </w:tc>
      </w:tr>
      <w:tr w:rsidR="00BC26DC" w:rsidRPr="009C0CEF" w:rsidTr="003514F5">
        <w:tblPrEx>
          <w:jc w:val="center"/>
        </w:tblPrEx>
        <w:trPr>
          <w:trHeight w:val="759"/>
          <w:jc w:val="center"/>
        </w:trPr>
        <w:tc>
          <w:tcPr>
            <w:tcW w:w="564"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BC26DC" w:rsidRPr="00D82A04" w:rsidRDefault="00BC26DC" w:rsidP="00FE2E60">
            <w:pPr>
              <w:spacing w:after="0" w:line="240" w:lineRule="auto"/>
              <w:jc w:val="center"/>
              <w:rPr>
                <w:rFonts w:ascii="Times New Roman" w:eastAsia="Times New Roman" w:hAnsi="Times New Roman"/>
                <w:b/>
                <w:bCs/>
                <w:color w:val="000000"/>
                <w:sz w:val="18"/>
                <w:szCs w:val="18"/>
                <w:lang w:eastAsia="ru-RU"/>
              </w:rPr>
            </w:pPr>
            <w:r w:rsidRPr="00D82A04">
              <w:rPr>
                <w:rFonts w:ascii="Times New Roman" w:eastAsia="Times New Roman" w:hAnsi="Times New Roman"/>
                <w:b/>
                <w:bCs/>
                <w:color w:val="000000"/>
                <w:sz w:val="18"/>
                <w:szCs w:val="18"/>
                <w:lang w:eastAsia="ru-RU"/>
              </w:rPr>
              <w:t>№</w:t>
            </w:r>
          </w:p>
        </w:tc>
        <w:tc>
          <w:tcPr>
            <w:tcW w:w="3666"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BC26DC" w:rsidRPr="00D82A04" w:rsidRDefault="00BC26DC" w:rsidP="00FE2E60">
            <w:pPr>
              <w:spacing w:after="0" w:line="240" w:lineRule="auto"/>
              <w:jc w:val="center"/>
              <w:rPr>
                <w:rFonts w:ascii="Times New Roman" w:eastAsia="Times New Roman" w:hAnsi="Times New Roman"/>
                <w:b/>
                <w:bCs/>
                <w:color w:val="000000"/>
                <w:sz w:val="18"/>
                <w:szCs w:val="18"/>
                <w:lang w:eastAsia="ru-RU"/>
              </w:rPr>
            </w:pPr>
            <w:r w:rsidRPr="00A54A93">
              <w:rPr>
                <w:rFonts w:ascii="Times New Roman" w:eastAsia="Times New Roman" w:hAnsi="Times New Roman"/>
                <w:b/>
                <w:bCs/>
                <w:color w:val="000000"/>
                <w:sz w:val="18"/>
                <w:szCs w:val="18"/>
                <w:lang w:val="en-US" w:eastAsia="ru-RU"/>
              </w:rPr>
              <w:t>Name</w:t>
            </w:r>
          </w:p>
        </w:tc>
        <w:tc>
          <w:tcPr>
            <w:tcW w:w="1701"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BC26DC" w:rsidRDefault="00BC26DC" w:rsidP="00FE2E60">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amount of retail deposits</w:t>
            </w:r>
          </w:p>
          <w:p w:rsidR="00BC26DC" w:rsidRPr="000E4516" w:rsidRDefault="00BC26DC" w:rsidP="00FA7EEE">
            <w:pPr>
              <w:spacing w:after="0" w:line="240" w:lineRule="auto"/>
              <w:jc w:val="center"/>
              <w:rPr>
                <w:rFonts w:ascii="Times New Roman" w:eastAsia="Times New Roman" w:hAnsi="Times New Roman"/>
                <w:b/>
                <w:bCs/>
                <w:color w:val="000000"/>
                <w:sz w:val="18"/>
                <w:szCs w:val="18"/>
                <w:lang w:val="en-US" w:eastAsia="ru-RU"/>
              </w:rPr>
            </w:pPr>
            <w:r w:rsidRPr="000E4516">
              <w:rPr>
                <w:rFonts w:ascii="Times New Roman" w:eastAsia="Times New Roman" w:hAnsi="Times New Roman"/>
                <w:b/>
                <w:bCs/>
                <w:color w:val="000000"/>
                <w:sz w:val="16"/>
                <w:szCs w:val="18"/>
                <w:lang w:val="en-US" w:eastAsia="ru-RU"/>
              </w:rPr>
              <w:t>(</w:t>
            </w:r>
            <w:r>
              <w:rPr>
                <w:rFonts w:ascii="Times New Roman" w:eastAsia="Times New Roman" w:hAnsi="Times New Roman"/>
                <w:b/>
                <w:bCs/>
                <w:color w:val="000000"/>
                <w:sz w:val="16"/>
                <w:szCs w:val="18"/>
                <w:lang w:val="en-US" w:eastAsia="ru-RU"/>
              </w:rPr>
              <w:t>in thousand</w:t>
            </w:r>
            <w:r w:rsidRPr="000E4516">
              <w:rPr>
                <w:rFonts w:ascii="Times New Roman" w:eastAsia="Times New Roman" w:hAnsi="Times New Roman"/>
                <w:b/>
                <w:bCs/>
                <w:color w:val="000000"/>
                <w:sz w:val="16"/>
                <w:szCs w:val="18"/>
                <w:lang w:val="en-US" w:eastAsia="ru-RU"/>
              </w:rPr>
              <w:t xml:space="preserve"> </w:t>
            </w:r>
            <w:r w:rsidR="00FA7EEE">
              <w:rPr>
                <w:rFonts w:ascii="Times New Roman" w:eastAsia="Times New Roman" w:hAnsi="Times New Roman"/>
                <w:b/>
                <w:bCs/>
                <w:color w:val="000000"/>
                <w:sz w:val="16"/>
                <w:szCs w:val="18"/>
                <w:lang w:val="en-US" w:eastAsia="ru-RU"/>
              </w:rPr>
              <w:t>T</w:t>
            </w:r>
            <w:r w:rsidRPr="000E4516">
              <w:rPr>
                <w:rFonts w:ascii="Times New Roman" w:eastAsia="Times New Roman" w:hAnsi="Times New Roman"/>
                <w:b/>
                <w:bCs/>
                <w:color w:val="000000"/>
                <w:sz w:val="16"/>
                <w:szCs w:val="18"/>
                <w:lang w:val="en-US" w:eastAsia="ru-RU"/>
              </w:rPr>
              <w:t>enge)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BC26DC" w:rsidRPr="00DE599B" w:rsidRDefault="00BC26DC" w:rsidP="00FE2E60">
            <w:pPr>
              <w:spacing w:after="0" w:line="240" w:lineRule="auto"/>
              <w:jc w:val="center"/>
              <w:rPr>
                <w:rFonts w:ascii="Times New Roman" w:eastAsia="Times New Roman" w:hAnsi="Times New Roman"/>
                <w:i/>
                <w:iCs/>
                <w:color w:val="000000"/>
                <w:sz w:val="18"/>
                <w:szCs w:val="18"/>
                <w:lang w:val="en-US" w:eastAsia="ru-RU"/>
              </w:rPr>
            </w:pPr>
            <w:r w:rsidRPr="00DE599B">
              <w:rPr>
                <w:rFonts w:ascii="Times New Roman" w:eastAsia="Times New Roman" w:hAnsi="Times New Roman"/>
                <w:i/>
                <w:iCs/>
                <w:color w:val="000000"/>
                <w:sz w:val="18"/>
                <w:szCs w:val="18"/>
                <w:lang w:val="en-US" w:eastAsia="ru-RU"/>
              </w:rPr>
              <w:t>Difference in deposits amount compared to the last quarter</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BC26DC" w:rsidRPr="00DE599B" w:rsidRDefault="00BC26DC" w:rsidP="00FE2E60">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number of deposit accounts</w:t>
            </w:r>
          </w:p>
        </w:tc>
      </w:tr>
      <w:tr w:rsidR="00BC26DC" w:rsidRPr="005A63A3" w:rsidTr="00685DD3">
        <w:tblPrEx>
          <w:jc w:val="center"/>
        </w:tblPrEx>
        <w:trPr>
          <w:trHeight w:val="580"/>
          <w:jc w:val="center"/>
        </w:trPr>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6DC" w:rsidRPr="00A54A93" w:rsidRDefault="00BC26DC" w:rsidP="00FE2E60">
            <w:pPr>
              <w:spacing w:after="0" w:line="240" w:lineRule="auto"/>
              <w:jc w:val="center"/>
              <w:rPr>
                <w:rFonts w:ascii="Times New Roman" w:eastAsia="Times New Roman" w:hAnsi="Times New Roman"/>
                <w:b/>
                <w:sz w:val="18"/>
                <w:szCs w:val="18"/>
                <w:lang w:eastAsia="ru-RU"/>
              </w:rPr>
            </w:pPr>
            <w:r w:rsidRPr="00A54A93">
              <w:rPr>
                <w:rFonts w:ascii="Times New Roman" w:eastAsia="Times New Roman" w:hAnsi="Times New Roman"/>
                <w:b/>
                <w:sz w:val="18"/>
                <w:szCs w:val="18"/>
                <w:lang w:eastAsia="ru-RU"/>
              </w:rPr>
              <w:t>1</w:t>
            </w:r>
          </w:p>
        </w:tc>
        <w:tc>
          <w:tcPr>
            <w:tcW w:w="3666" w:type="dxa"/>
            <w:tcBorders>
              <w:top w:val="nil"/>
              <w:left w:val="nil"/>
              <w:bottom w:val="single" w:sz="4" w:space="0" w:color="auto"/>
              <w:right w:val="single" w:sz="4" w:space="0" w:color="auto"/>
            </w:tcBorders>
            <w:shd w:val="clear" w:color="auto" w:fill="auto"/>
            <w:vAlign w:val="center"/>
            <w:hideMark/>
          </w:tcPr>
          <w:p w:rsidR="00BC26DC" w:rsidRPr="00A54A93" w:rsidRDefault="00BC26DC" w:rsidP="00FE2E60">
            <w:pPr>
              <w:spacing w:after="0" w:line="240" w:lineRule="auto"/>
              <w:rPr>
                <w:rFonts w:ascii="Times New Roman" w:eastAsia="Times New Roman" w:hAnsi="Times New Roman"/>
                <w:b/>
                <w:sz w:val="18"/>
                <w:szCs w:val="18"/>
                <w:lang w:val="en-US" w:eastAsia="ru-RU"/>
              </w:rPr>
            </w:pPr>
            <w:r w:rsidRPr="00A54A93">
              <w:rPr>
                <w:rFonts w:ascii="Times New Roman" w:eastAsia="Times New Roman" w:hAnsi="Times New Roman"/>
                <w:b/>
                <w:sz w:val="18"/>
                <w:szCs w:val="18"/>
                <w:lang w:val="en-US" w:eastAsia="ru-RU"/>
              </w:rPr>
              <w:t>Total amount of retail deposits placed both in tenge and in foreign currencies</w:t>
            </w:r>
            <w:r w:rsidRPr="00A54A93">
              <w:rPr>
                <w:b/>
                <w:lang w:val="en-US"/>
              </w:rPr>
              <w:t xml:space="preserve">, </w:t>
            </w:r>
            <w:r w:rsidRPr="00A54A93">
              <w:rPr>
                <w:rFonts w:ascii="Times New Roman" w:eastAsia="Times New Roman" w:hAnsi="Times New Roman"/>
                <w:b/>
                <w:sz w:val="18"/>
                <w:szCs w:val="18"/>
                <w:lang w:val="en-US" w:eastAsia="ru-RU"/>
              </w:rPr>
              <w:t>including:</w:t>
            </w:r>
          </w:p>
        </w:tc>
        <w:tc>
          <w:tcPr>
            <w:tcW w:w="1701" w:type="dxa"/>
            <w:tcBorders>
              <w:top w:val="nil"/>
              <w:left w:val="nil"/>
              <w:bottom w:val="single" w:sz="4" w:space="0" w:color="auto"/>
              <w:right w:val="single" w:sz="4" w:space="0" w:color="auto"/>
            </w:tcBorders>
            <w:shd w:val="clear" w:color="auto" w:fill="auto"/>
            <w:vAlign w:val="center"/>
            <w:hideMark/>
          </w:tcPr>
          <w:p w:rsidR="00BC26DC" w:rsidRPr="00BC26DC" w:rsidRDefault="00BC26DC" w:rsidP="00CA0B01">
            <w:pPr>
              <w:spacing w:after="0" w:line="240" w:lineRule="auto"/>
              <w:jc w:val="right"/>
              <w:rPr>
                <w:rFonts w:ascii="Times New Roman" w:eastAsia="Calibri" w:hAnsi="Times New Roman" w:cs="Times New Roman"/>
                <w:b/>
                <w:sz w:val="18"/>
                <w:szCs w:val="18"/>
              </w:rPr>
            </w:pPr>
            <w:r w:rsidRPr="00BC26DC">
              <w:rPr>
                <w:rFonts w:ascii="Times New Roman" w:eastAsia="Calibri" w:hAnsi="Times New Roman" w:cs="Times New Roman"/>
                <w:b/>
                <w:sz w:val="18"/>
                <w:szCs w:val="18"/>
              </w:rPr>
              <w:t>4 364 680 565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BC26DC" w:rsidRDefault="00BC26DC" w:rsidP="00CA0B01">
            <w:pPr>
              <w:spacing w:after="0" w:line="240" w:lineRule="auto"/>
              <w:jc w:val="right"/>
              <w:rPr>
                <w:rFonts w:ascii="Times New Roman" w:eastAsia="Calibri" w:hAnsi="Times New Roman" w:cs="Times New Roman"/>
                <w:b/>
                <w:sz w:val="18"/>
                <w:szCs w:val="18"/>
              </w:rPr>
            </w:pPr>
            <w:r w:rsidRPr="00BC26DC">
              <w:rPr>
                <w:rFonts w:ascii="Times New Roman" w:eastAsia="Calibri" w:hAnsi="Times New Roman" w:cs="Times New Roman"/>
                <w:b/>
                <w:sz w:val="18"/>
                <w:szCs w:val="18"/>
              </w:rPr>
              <w:t>233 089 767</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BC26DC" w:rsidRDefault="00BC26DC" w:rsidP="00CA0B01">
            <w:pPr>
              <w:spacing w:after="0" w:line="240" w:lineRule="auto"/>
              <w:jc w:val="right"/>
              <w:rPr>
                <w:rFonts w:ascii="Times New Roman" w:eastAsia="Calibri" w:hAnsi="Times New Roman" w:cs="Times New Roman"/>
                <w:b/>
                <w:sz w:val="18"/>
                <w:szCs w:val="18"/>
              </w:rPr>
            </w:pPr>
            <w:r w:rsidRPr="00BC26DC">
              <w:rPr>
                <w:rFonts w:ascii="Times New Roman" w:eastAsia="Calibri" w:hAnsi="Times New Roman" w:cs="Times New Roman"/>
                <w:b/>
                <w:sz w:val="18"/>
                <w:szCs w:val="18"/>
              </w:rPr>
              <w:t>22 257 582</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w:t>
            </w:r>
          </w:p>
        </w:tc>
        <w:tc>
          <w:tcPr>
            <w:tcW w:w="3666" w:type="dxa"/>
            <w:tcBorders>
              <w:top w:val="nil"/>
              <w:left w:val="nil"/>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rPr>
                <w:rFonts w:ascii="Times New Roman" w:eastAsia="Times New Roman" w:hAnsi="Times New Roman"/>
                <w:sz w:val="18"/>
                <w:szCs w:val="18"/>
                <w:lang w:eastAsia="ru-RU"/>
              </w:rPr>
            </w:pPr>
            <w:r w:rsidRPr="00A54A93">
              <w:rPr>
                <w:rFonts w:ascii="Times New Roman" w:eastAsia="Times New Roman" w:hAnsi="Times New Roman"/>
                <w:sz w:val="18"/>
                <w:szCs w:val="18"/>
                <w:lang w:val="en-US" w:eastAsia="ru-RU"/>
              </w:rPr>
              <w:t>Call</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deposits</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including</w:t>
            </w:r>
            <w:r w:rsidRPr="00DE599B">
              <w:rPr>
                <w:rFonts w:ascii="Times New Roman" w:eastAsia="Times New Roman" w:hAnsi="Times New Roman"/>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43 472 745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5 021 031</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1 634 092</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1.1.</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17 267 785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199 243</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1 508 796</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1.2.</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26 204 960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4 821 788</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125 296</w:t>
            </w:r>
          </w:p>
        </w:tc>
      </w:tr>
      <w:tr w:rsidR="00BC26DC" w:rsidRPr="005A63A3" w:rsidTr="00685DD3">
        <w:tblPrEx>
          <w:jc w:val="center"/>
        </w:tblPrEx>
        <w:trPr>
          <w:trHeight w:val="998"/>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DE599B" w:rsidRDefault="00BC26DC" w:rsidP="00FE2E60">
            <w:pPr>
              <w:spacing w:after="0" w:line="240" w:lineRule="auto"/>
              <w:rPr>
                <w:rFonts w:ascii="Times New Roman" w:eastAsia="Times New Roman" w:hAnsi="Times New Roman"/>
                <w:sz w:val="18"/>
                <w:szCs w:val="18"/>
                <w:lang w:val="en-US" w:eastAsia="ru-RU"/>
              </w:rPr>
            </w:pPr>
            <w:r w:rsidRPr="00DE599B">
              <w:rPr>
                <w:rFonts w:ascii="Times New Roman" w:eastAsia="Times New Roman" w:hAnsi="Times New Roman"/>
                <w:sz w:val="18"/>
                <w:szCs w:val="18"/>
                <w:lang w:val="en-US" w:eastAsia="ru-RU"/>
              </w:rPr>
              <w:t>Call deposits</w:t>
            </w:r>
            <w:r>
              <w:rPr>
                <w:rFonts w:ascii="Times New Roman" w:eastAsia="Times New Roman" w:hAnsi="Times New Roman"/>
                <w:sz w:val="18"/>
                <w:szCs w:val="18"/>
                <w:lang w:val="en-US" w:eastAsia="ru-RU"/>
              </w:rPr>
              <w:t xml:space="preserve"> of </w:t>
            </w:r>
            <w:r w:rsidRPr="00DE599B">
              <w:rPr>
                <w:rFonts w:ascii="Times New Roman" w:eastAsia="Times New Roman" w:hAnsi="Times New Roman"/>
                <w:sz w:val="18"/>
                <w:szCs w:val="18"/>
                <w:lang w:val="en-US" w:eastAsia="ru-RU"/>
              </w:rPr>
              <w:t>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11 302 598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3 592 955</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258</w:t>
            </w:r>
          </w:p>
        </w:tc>
      </w:tr>
      <w:tr w:rsidR="00BC26DC" w:rsidRPr="005A63A3" w:rsidTr="00685DD3">
        <w:tblPrEx>
          <w:jc w:val="center"/>
        </w:tblPrEx>
        <w:trPr>
          <w:trHeight w:val="26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eastAsia="Times New Roman" w:hAnsi="Times New Roman"/>
                <w:sz w:val="18"/>
                <w:szCs w:val="18"/>
                <w:lang w:val="en-US" w:eastAsia="ru-RU"/>
              </w:rPr>
            </w:pPr>
            <w:r w:rsidRPr="000D61A5">
              <w:rPr>
                <w:rFonts w:ascii="Times New Roman" w:eastAsia="Times New Roman" w:hAnsi="Times New Roman"/>
                <w:sz w:val="18"/>
                <w:szCs w:val="18"/>
                <w:lang w:val="en-US" w:eastAsia="ru-RU"/>
              </w:rPr>
              <w:t>Term and conditional deposits, including:</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3 857 937 587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168 442 022</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2 473 774</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2.1.</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Tenge,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1 614 306 426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87 747 832</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1 870 297</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D61A5">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D61A5">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283 498 917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6 859 072</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1 545 385</w:t>
            </w:r>
          </w:p>
        </w:tc>
      </w:tr>
      <w:tr w:rsidR="00BC26DC" w:rsidRPr="005A63A3" w:rsidTr="00BC26DC">
        <w:tblPrEx>
          <w:jc w:val="center"/>
        </w:tblPrEx>
        <w:trPr>
          <w:trHeight w:val="26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T1 million to T3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376 839 280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13 639 866</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230 853</w:t>
            </w:r>
          </w:p>
        </w:tc>
      </w:tr>
      <w:tr w:rsidR="00BC26DC" w:rsidRPr="005A63A3" w:rsidTr="00BC26DC">
        <w:tblPrEx>
          <w:jc w:val="center"/>
        </w:tblPrEx>
        <w:trPr>
          <w:trHeight w:val="31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T3 million to T5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206 113 477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10 671 321</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53 475</w:t>
            </w:r>
          </w:p>
        </w:tc>
      </w:tr>
      <w:tr w:rsidR="00BC26DC" w:rsidRPr="005A63A3" w:rsidTr="00BC26DC">
        <w:tblPrEx>
          <w:jc w:val="center"/>
        </w:tblPrEx>
        <w:trPr>
          <w:trHeight w:val="23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T5 million to T10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177 042 995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12 155 884</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27 707</w:t>
            </w:r>
          </w:p>
        </w:tc>
      </w:tr>
      <w:tr w:rsidR="00BC26DC" w:rsidRPr="005A63A3" w:rsidTr="00BC26DC">
        <w:tblPrEx>
          <w:jc w:val="center"/>
        </w:tblPrEx>
        <w:trPr>
          <w:trHeight w:val="261"/>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lang w:val="fr-FR"/>
              </w:rPr>
            </w:pPr>
            <w:r>
              <w:rPr>
                <w:rFonts w:ascii="Times New Roman" w:hAnsi="Times New Roman"/>
                <w:color w:val="000000"/>
                <w:sz w:val="18"/>
                <w:szCs w:val="20"/>
                <w:lang w:val="fr-FR"/>
              </w:rPr>
              <w:t xml:space="preserve">from T10 million to </w:t>
            </w:r>
            <w:r w:rsidRPr="000D61A5">
              <w:rPr>
                <w:rFonts w:ascii="Times New Roman" w:hAnsi="Times New Roman"/>
                <w:color w:val="000000"/>
                <w:sz w:val="18"/>
                <w:szCs w:val="20"/>
                <w:lang w:val="fr-FR"/>
              </w:rPr>
              <w:t>T15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58 657 948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2 802 634</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4 927</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D61A5">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r w:rsidRPr="000D61A5">
              <w:rPr>
                <w:rFonts w:ascii="Times New Roman" w:hAnsi="Times New Roman"/>
                <w:color w:val="000000"/>
                <w:sz w:val="18"/>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512 153 809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41 619 055</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7 950</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2.2.</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foreign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currencies</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2 243 631 161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80 694 190</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603 477</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E4516">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E4516">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84 932 611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2 901 796</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409 426</w:t>
            </w:r>
          </w:p>
        </w:tc>
      </w:tr>
      <w:tr w:rsidR="00BC26DC" w:rsidRPr="005A63A3" w:rsidTr="00BC26DC">
        <w:tblPrEx>
          <w:jc w:val="center"/>
        </w:tblPrEx>
        <w:trPr>
          <w:trHeight w:val="379"/>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 million to T3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183 903 948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7 407 246</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103 554</w:t>
            </w:r>
          </w:p>
        </w:tc>
      </w:tr>
      <w:tr w:rsidR="00BC26DC" w:rsidRPr="005A63A3" w:rsidTr="00BC26DC">
        <w:tblPrEx>
          <w:jc w:val="center"/>
        </w:tblPrEx>
        <w:trPr>
          <w:trHeight w:val="28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T3 million to T5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152 453 101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3 800 404</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38 603</w:t>
            </w:r>
          </w:p>
        </w:tc>
      </w:tr>
      <w:tr w:rsidR="00BC26DC" w:rsidRPr="005A63A3" w:rsidTr="00BC26DC">
        <w:tblPrEx>
          <w:jc w:val="center"/>
        </w:tblPrEx>
        <w:trPr>
          <w:trHeight w:val="32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T5 million to T10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200 347 747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6 698 267</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29 367</w:t>
            </w:r>
          </w:p>
        </w:tc>
      </w:tr>
      <w:tr w:rsidR="00BC26DC" w:rsidRPr="005A63A3" w:rsidTr="00BC26DC">
        <w:tblPrEx>
          <w:jc w:val="center"/>
        </w:tblPrEx>
        <w:trPr>
          <w:trHeight w:val="37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T10 million to T15 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93 542 940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2 156 038</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7 708</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0E4516" w:rsidRDefault="00BC26DC" w:rsidP="00FE2E60">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E4516">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1 528 450 814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57 730 440</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14 819</w:t>
            </w:r>
          </w:p>
        </w:tc>
      </w:tr>
      <w:tr w:rsidR="00BC26DC" w:rsidRPr="005A63A3" w:rsidTr="00685DD3">
        <w:tblPrEx>
          <w:jc w:val="center"/>
        </w:tblPrEx>
        <w:trPr>
          <w:trHeight w:val="809"/>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5509DC" w:rsidRDefault="00BC26DC" w:rsidP="00FE2E60">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Term and conditional deposits of 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258 286 673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6 393 389</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1 857</w:t>
            </w:r>
          </w:p>
        </w:tc>
      </w:tr>
      <w:tr w:rsidR="00BC26DC" w:rsidRPr="005A63A3" w:rsidTr="00685DD3">
        <w:tblPrEx>
          <w:jc w:val="center"/>
        </w:tblPrEx>
        <w:trPr>
          <w:trHeight w:val="552"/>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w:t>
            </w:r>
          </w:p>
        </w:tc>
        <w:tc>
          <w:tcPr>
            <w:tcW w:w="3666" w:type="dxa"/>
            <w:tcBorders>
              <w:top w:val="nil"/>
              <w:left w:val="nil"/>
              <w:bottom w:val="single" w:sz="4" w:space="0" w:color="auto"/>
              <w:right w:val="single" w:sz="4" w:space="0" w:color="auto"/>
            </w:tcBorders>
            <w:shd w:val="clear" w:color="auto" w:fill="auto"/>
            <w:vAlign w:val="center"/>
            <w:hideMark/>
          </w:tcPr>
          <w:p w:rsidR="00BC26DC" w:rsidRPr="005509DC" w:rsidRDefault="00BC26DC" w:rsidP="00FE2E60">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Current and card accounts’ balances, including:</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463 270 233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59 626 714</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18 149 716</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3.1.</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395 236 190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55 247 826</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17 274 377</w:t>
            </w:r>
          </w:p>
        </w:tc>
      </w:tr>
      <w:tr w:rsidR="00BC26DC" w:rsidRPr="005A63A3" w:rsidTr="00685DD3">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3.2.</w:t>
            </w:r>
          </w:p>
        </w:tc>
        <w:tc>
          <w:tcPr>
            <w:tcW w:w="3666" w:type="dxa"/>
            <w:tcBorders>
              <w:top w:val="nil"/>
              <w:left w:val="nil"/>
              <w:bottom w:val="single" w:sz="4" w:space="0" w:color="auto"/>
              <w:right w:val="single" w:sz="4" w:space="0" w:color="auto"/>
            </w:tcBorders>
            <w:shd w:val="clear" w:color="auto" w:fill="auto"/>
            <w:vAlign w:val="center"/>
            <w:hideMark/>
          </w:tcPr>
          <w:p w:rsidR="00BC26DC" w:rsidRPr="000D61A5" w:rsidRDefault="00BC26DC" w:rsidP="00FE2E60">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68 034 043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4 378 888</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CA0B01">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875 339</w:t>
            </w:r>
          </w:p>
        </w:tc>
      </w:tr>
      <w:tr w:rsidR="00BC26DC" w:rsidRPr="005A63A3" w:rsidTr="00FA7EEE">
        <w:tblPrEx>
          <w:jc w:val="center"/>
        </w:tblPrEx>
        <w:trPr>
          <w:trHeight w:val="1148"/>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BC26DC" w:rsidRPr="00D82A04" w:rsidRDefault="00BC26DC" w:rsidP="00FE2E60">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BC26DC" w:rsidRPr="00A54A93" w:rsidRDefault="00BC26DC" w:rsidP="00FE2E60">
            <w:pPr>
              <w:spacing w:after="0" w:line="240" w:lineRule="auto"/>
              <w:rPr>
                <w:rFonts w:ascii="Times New Roman" w:eastAsia="Times New Roman" w:hAnsi="Times New Roman"/>
                <w:sz w:val="18"/>
                <w:szCs w:val="18"/>
                <w:lang w:val="en-US" w:eastAsia="ru-RU"/>
              </w:rPr>
            </w:pPr>
            <w:r w:rsidRPr="00A54A93">
              <w:rPr>
                <w:rFonts w:ascii="Times New Roman" w:eastAsia="Times New Roman" w:hAnsi="Times New Roman"/>
                <w:sz w:val="18"/>
                <w:szCs w:val="18"/>
                <w:lang w:val="en-US" w:eastAsia="ru-RU"/>
              </w:rPr>
              <w:t>Current and card accounts’ balances</w:t>
            </w:r>
            <w:r>
              <w:rPr>
                <w:rFonts w:ascii="Times New Roman" w:eastAsia="Times New Roman" w:hAnsi="Times New Roman"/>
                <w:sz w:val="18"/>
                <w:szCs w:val="18"/>
                <w:lang w:val="en-US" w:eastAsia="ru-RU"/>
              </w:rPr>
              <w:t xml:space="preserve"> </w:t>
            </w:r>
            <w:r w:rsidRPr="005509DC">
              <w:rPr>
                <w:rFonts w:ascii="Times New Roman" w:eastAsia="Times New Roman" w:hAnsi="Times New Roman"/>
                <w:sz w:val="18"/>
                <w:szCs w:val="18"/>
                <w:lang w:val="en-US" w:eastAsia="ru-RU"/>
              </w:rPr>
              <w:t>of 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vAlign w:val="center"/>
            <w:hideMark/>
          </w:tcPr>
          <w:p w:rsidR="00BC26DC" w:rsidRPr="005A63A3" w:rsidRDefault="00BC26DC" w:rsidP="00FA7EEE">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3 870</w:t>
            </w:r>
            <w:r w:rsidR="00FA7EEE">
              <w:rPr>
                <w:rFonts w:ascii="Times New Roman" w:eastAsia="Calibri" w:hAnsi="Times New Roman" w:cs="Times New Roman"/>
                <w:sz w:val="18"/>
                <w:szCs w:val="18"/>
              </w:rPr>
              <w:t> </w:t>
            </w:r>
            <w:r w:rsidRPr="005A63A3">
              <w:rPr>
                <w:rFonts w:ascii="Times New Roman" w:eastAsia="Calibri" w:hAnsi="Times New Roman" w:cs="Times New Roman"/>
                <w:sz w:val="18"/>
                <w:szCs w:val="18"/>
              </w:rPr>
              <w:t>900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C26DC" w:rsidRPr="005A63A3" w:rsidRDefault="00BC26DC" w:rsidP="00FA7EEE">
            <w:pPr>
              <w:spacing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660 886</w:t>
            </w:r>
          </w:p>
        </w:tc>
        <w:tc>
          <w:tcPr>
            <w:tcW w:w="1677" w:type="dxa"/>
            <w:gridSpan w:val="2"/>
            <w:tcBorders>
              <w:top w:val="nil"/>
              <w:left w:val="nil"/>
              <w:bottom w:val="single" w:sz="4" w:space="0" w:color="auto"/>
              <w:right w:val="single" w:sz="4" w:space="0" w:color="auto"/>
            </w:tcBorders>
            <w:shd w:val="clear" w:color="auto" w:fill="auto"/>
            <w:vAlign w:val="center"/>
            <w:hideMark/>
          </w:tcPr>
          <w:p w:rsidR="00BC26DC" w:rsidRPr="005A63A3" w:rsidRDefault="00BC26DC" w:rsidP="00FA7EEE">
            <w:pPr>
              <w:spacing w:after="0" w:line="240" w:lineRule="auto"/>
              <w:jc w:val="right"/>
              <w:rPr>
                <w:rFonts w:ascii="Times New Roman" w:eastAsia="Calibri" w:hAnsi="Times New Roman" w:cs="Times New Roman"/>
                <w:sz w:val="18"/>
                <w:szCs w:val="18"/>
              </w:rPr>
            </w:pPr>
            <w:r w:rsidRPr="005A63A3">
              <w:rPr>
                <w:rFonts w:ascii="Times New Roman" w:eastAsia="Calibri" w:hAnsi="Times New Roman" w:cs="Times New Roman"/>
                <w:sz w:val="18"/>
                <w:szCs w:val="18"/>
              </w:rPr>
              <w:t>11 648</w:t>
            </w:r>
          </w:p>
        </w:tc>
      </w:tr>
    </w:tbl>
    <w:p w:rsidR="005A63A3" w:rsidRPr="005A63A3" w:rsidRDefault="005A63A3" w:rsidP="00CA0B01">
      <w:pPr>
        <w:tabs>
          <w:tab w:val="left" w:pos="1650"/>
        </w:tabs>
        <w:spacing w:after="120"/>
        <w:jc w:val="both"/>
        <w:rPr>
          <w:rFonts w:ascii="Times New Roman" w:eastAsia="Times New Roman" w:hAnsi="Times New Roman" w:cs="Times New Roman"/>
          <w:color w:val="0000CC"/>
          <w:sz w:val="24"/>
          <w:szCs w:val="24"/>
          <w:lang w:val="en-US" w:eastAsia="ru-RU"/>
        </w:rPr>
      </w:pPr>
    </w:p>
    <w:sectPr w:rsidR="005A63A3" w:rsidRPr="005A63A3" w:rsidSect="00CA0B01">
      <w:headerReference w:type="default" r:id="rId11"/>
      <w:pgSz w:w="11906" w:h="16838"/>
      <w:pgMar w:top="851" w:right="850" w:bottom="568"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5B" w:rsidRDefault="0028115B" w:rsidP="005A63A3">
      <w:pPr>
        <w:spacing w:after="0" w:line="240" w:lineRule="auto"/>
      </w:pPr>
      <w:r>
        <w:separator/>
      </w:r>
    </w:p>
  </w:endnote>
  <w:endnote w:type="continuationSeparator" w:id="0">
    <w:p w:rsidR="0028115B" w:rsidRDefault="0028115B" w:rsidP="005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5B" w:rsidRDefault="0028115B" w:rsidP="005A63A3">
      <w:pPr>
        <w:spacing w:after="0" w:line="240" w:lineRule="auto"/>
      </w:pPr>
      <w:r>
        <w:separator/>
      </w:r>
    </w:p>
  </w:footnote>
  <w:footnote w:type="continuationSeparator" w:id="0">
    <w:p w:rsidR="0028115B" w:rsidRDefault="0028115B" w:rsidP="005A6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C" w:rsidRPr="00BC26DC" w:rsidRDefault="005A63A3" w:rsidP="00BC26DC">
    <w:pPr>
      <w:pStyle w:val="a7"/>
      <w:ind w:left="709"/>
      <w:rPr>
        <w:rFonts w:ascii="Times New Roman" w:eastAsia="Calibri" w:hAnsi="Times New Roman" w:cs="Times New Roman"/>
        <w:i/>
        <w:sz w:val="18"/>
        <w:szCs w:val="18"/>
        <w:lang w:val="en-US" w:eastAsia="x-none"/>
      </w:rPr>
    </w:pPr>
    <w:r>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2887E6EE" wp14:editId="00B2F502">
          <wp:simplePos x="0" y="0"/>
          <wp:positionH relativeFrom="column">
            <wp:posOffset>-5080</wp:posOffset>
          </wp:positionH>
          <wp:positionV relativeFrom="paragraph">
            <wp:posOffset>76835</wp:posOffset>
          </wp:positionV>
          <wp:extent cx="379095" cy="323850"/>
          <wp:effectExtent l="0" t="0" r="1905" b="0"/>
          <wp:wrapSquare wrapText="bothSides"/>
          <wp:docPr id="4" name="Рисунок 4" descr="C:\Documents and Settings\User\Мои документы\Mои рисунки\KDIF\KDIF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Мои документы\Mои рисунки\KDIF\KDIF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6DC" w:rsidRPr="00BC26DC" w:rsidRDefault="00BC26DC" w:rsidP="00BC26DC">
    <w:pPr>
      <w:pBdr>
        <w:bottom w:val="single" w:sz="4" w:space="1" w:color="auto"/>
      </w:pBdr>
      <w:tabs>
        <w:tab w:val="center" w:pos="4677"/>
        <w:tab w:val="right" w:pos="9355"/>
      </w:tabs>
      <w:spacing w:after="0" w:line="240" w:lineRule="auto"/>
      <w:ind w:left="709"/>
      <w:rPr>
        <w:rFonts w:ascii="Times New Roman" w:eastAsia="Calibri" w:hAnsi="Times New Roman" w:cs="Times New Roman"/>
        <w:i/>
        <w:sz w:val="18"/>
        <w:szCs w:val="18"/>
        <w:lang w:val="en-US" w:eastAsia="x-none"/>
      </w:rPr>
    </w:pPr>
    <w:r w:rsidRPr="00BC26DC">
      <w:rPr>
        <w:rFonts w:ascii="Times New Roman" w:eastAsia="Calibri" w:hAnsi="Times New Roman" w:cs="Times New Roman"/>
        <w:i/>
        <w:sz w:val="18"/>
        <w:szCs w:val="18"/>
        <w:lang w:val="en-US" w:eastAsia="x-none"/>
      </w:rPr>
      <w:t xml:space="preserve">Kazakhstan Deposit Insurance Fund </w:t>
    </w:r>
  </w:p>
  <w:p w:rsidR="005A63A3" w:rsidRPr="00BC26DC" w:rsidRDefault="00BC26DC" w:rsidP="00BC26DC">
    <w:pPr>
      <w:pBdr>
        <w:bottom w:val="single" w:sz="4" w:space="1" w:color="auto"/>
      </w:pBdr>
      <w:tabs>
        <w:tab w:val="center" w:pos="4677"/>
        <w:tab w:val="right" w:pos="9355"/>
      </w:tabs>
      <w:spacing w:after="0" w:line="240" w:lineRule="auto"/>
      <w:ind w:left="709"/>
      <w:rPr>
        <w:rFonts w:ascii="Times New Roman" w:eastAsia="Calibri" w:hAnsi="Times New Roman" w:cs="Times New Roman"/>
        <w:i/>
        <w:sz w:val="18"/>
        <w:szCs w:val="18"/>
        <w:lang w:val="en-US" w:eastAsia="x-none"/>
      </w:rPr>
    </w:pPr>
    <w:r w:rsidRPr="00BC26DC">
      <w:rPr>
        <w:rFonts w:ascii="Times New Roman" w:eastAsia="Calibri" w:hAnsi="Times New Roman" w:cs="Times New Roman"/>
        <w:i/>
        <w:sz w:val="18"/>
        <w:szCs w:val="18"/>
        <w:lang w:val="en-US" w:eastAsia="x-none"/>
      </w:rPr>
      <w:t xml:space="preserve">Overview of retail deposit market for the </w:t>
    </w:r>
    <w:r>
      <w:rPr>
        <w:rFonts w:ascii="Times New Roman" w:eastAsia="Calibri" w:hAnsi="Times New Roman" w:cs="Times New Roman"/>
        <w:i/>
        <w:sz w:val="18"/>
        <w:szCs w:val="18"/>
        <w:lang w:val="en-US" w:eastAsia="x-none"/>
      </w:rPr>
      <w:t>second</w:t>
    </w:r>
    <w:r w:rsidRPr="00BC26DC">
      <w:rPr>
        <w:rFonts w:ascii="Times New Roman" w:eastAsia="Calibri" w:hAnsi="Times New Roman" w:cs="Times New Roman"/>
        <w:i/>
        <w:sz w:val="18"/>
        <w:szCs w:val="18"/>
        <w:lang w:val="en-US" w:eastAsia="x-none"/>
      </w:rPr>
      <w:t xml:space="preserve"> quarter 2014</w:t>
    </w:r>
  </w:p>
  <w:p w:rsidR="005A63A3" w:rsidRPr="00BC26DC" w:rsidRDefault="005A63A3">
    <w:pPr>
      <w:pStyle w:val="a7"/>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CA"/>
    <w:rsid w:val="00112267"/>
    <w:rsid w:val="0014024A"/>
    <w:rsid w:val="00257104"/>
    <w:rsid w:val="0028115B"/>
    <w:rsid w:val="002822AF"/>
    <w:rsid w:val="003514F5"/>
    <w:rsid w:val="003B35CA"/>
    <w:rsid w:val="0045735D"/>
    <w:rsid w:val="004E3A81"/>
    <w:rsid w:val="004F6647"/>
    <w:rsid w:val="005139D3"/>
    <w:rsid w:val="005A63A3"/>
    <w:rsid w:val="00684186"/>
    <w:rsid w:val="00937113"/>
    <w:rsid w:val="009C0CEF"/>
    <w:rsid w:val="00A306E3"/>
    <w:rsid w:val="00A86BCC"/>
    <w:rsid w:val="00A94C72"/>
    <w:rsid w:val="00AA655F"/>
    <w:rsid w:val="00B14091"/>
    <w:rsid w:val="00B66F4D"/>
    <w:rsid w:val="00BC26DC"/>
    <w:rsid w:val="00CA0B01"/>
    <w:rsid w:val="00CB50C5"/>
    <w:rsid w:val="00D505FE"/>
    <w:rsid w:val="00D61A42"/>
    <w:rsid w:val="00E2227A"/>
    <w:rsid w:val="00E4435C"/>
    <w:rsid w:val="00F75485"/>
    <w:rsid w:val="00F811DD"/>
    <w:rsid w:val="00F86856"/>
    <w:rsid w:val="00FA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3A3"/>
    <w:pPr>
      <w:spacing w:after="0" w:line="240" w:lineRule="auto"/>
    </w:pPr>
    <w:rPr>
      <w:rFonts w:eastAsiaTheme="minorEastAsia"/>
      <w:lang w:eastAsia="ru-RU"/>
    </w:rPr>
  </w:style>
  <w:style w:type="character" w:customStyle="1" w:styleId="a4">
    <w:name w:val="Без интервала Знак"/>
    <w:basedOn w:val="a0"/>
    <w:link w:val="a3"/>
    <w:uiPriority w:val="1"/>
    <w:rsid w:val="005A63A3"/>
    <w:rPr>
      <w:rFonts w:eastAsiaTheme="minorEastAsia"/>
      <w:lang w:eastAsia="ru-RU"/>
    </w:rPr>
  </w:style>
  <w:style w:type="paragraph" w:styleId="a5">
    <w:name w:val="Balloon Text"/>
    <w:basedOn w:val="a"/>
    <w:link w:val="a6"/>
    <w:uiPriority w:val="99"/>
    <w:semiHidden/>
    <w:unhideWhenUsed/>
    <w:rsid w:val="005A63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3A3"/>
    <w:rPr>
      <w:rFonts w:ascii="Tahoma" w:hAnsi="Tahoma" w:cs="Tahoma"/>
      <w:sz w:val="16"/>
      <w:szCs w:val="16"/>
    </w:rPr>
  </w:style>
  <w:style w:type="paragraph" w:styleId="a7">
    <w:name w:val="header"/>
    <w:basedOn w:val="a"/>
    <w:link w:val="a8"/>
    <w:uiPriority w:val="99"/>
    <w:unhideWhenUsed/>
    <w:rsid w:val="005A63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63A3"/>
  </w:style>
  <w:style w:type="paragraph" w:styleId="a9">
    <w:name w:val="footer"/>
    <w:basedOn w:val="a"/>
    <w:link w:val="aa"/>
    <w:uiPriority w:val="99"/>
    <w:unhideWhenUsed/>
    <w:rsid w:val="005A63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63A3"/>
  </w:style>
  <w:style w:type="paragraph" w:styleId="ab">
    <w:name w:val="Normal (Web)"/>
    <w:basedOn w:val="a"/>
    <w:uiPriority w:val="99"/>
    <w:semiHidden/>
    <w:unhideWhenUsed/>
    <w:rsid w:val="0025710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3A3"/>
    <w:pPr>
      <w:spacing w:after="0" w:line="240" w:lineRule="auto"/>
    </w:pPr>
    <w:rPr>
      <w:rFonts w:eastAsiaTheme="minorEastAsia"/>
      <w:lang w:eastAsia="ru-RU"/>
    </w:rPr>
  </w:style>
  <w:style w:type="character" w:customStyle="1" w:styleId="a4">
    <w:name w:val="Без интервала Знак"/>
    <w:basedOn w:val="a0"/>
    <w:link w:val="a3"/>
    <w:uiPriority w:val="1"/>
    <w:rsid w:val="005A63A3"/>
    <w:rPr>
      <w:rFonts w:eastAsiaTheme="minorEastAsia"/>
      <w:lang w:eastAsia="ru-RU"/>
    </w:rPr>
  </w:style>
  <w:style w:type="paragraph" w:styleId="a5">
    <w:name w:val="Balloon Text"/>
    <w:basedOn w:val="a"/>
    <w:link w:val="a6"/>
    <w:uiPriority w:val="99"/>
    <w:semiHidden/>
    <w:unhideWhenUsed/>
    <w:rsid w:val="005A63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3A3"/>
    <w:rPr>
      <w:rFonts w:ascii="Tahoma" w:hAnsi="Tahoma" w:cs="Tahoma"/>
      <w:sz w:val="16"/>
      <w:szCs w:val="16"/>
    </w:rPr>
  </w:style>
  <w:style w:type="paragraph" w:styleId="a7">
    <w:name w:val="header"/>
    <w:basedOn w:val="a"/>
    <w:link w:val="a8"/>
    <w:uiPriority w:val="99"/>
    <w:unhideWhenUsed/>
    <w:rsid w:val="005A63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63A3"/>
  </w:style>
  <w:style w:type="paragraph" w:styleId="a9">
    <w:name w:val="footer"/>
    <w:basedOn w:val="a"/>
    <w:link w:val="aa"/>
    <w:uiPriority w:val="99"/>
    <w:unhideWhenUsed/>
    <w:rsid w:val="005A63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63A3"/>
  </w:style>
  <w:style w:type="paragraph" w:styleId="ab">
    <w:name w:val="Normal (Web)"/>
    <w:basedOn w:val="a"/>
    <w:uiPriority w:val="99"/>
    <w:semiHidden/>
    <w:unhideWhenUsed/>
    <w:rsid w:val="0025710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2014\&#1075;&#1088;&#1072;&#1092;&#1080;&#1082;_&#1080;&#1079;&#1084;%20&#1076;&#1077;&#1087;%20%20&#1087;&#1086;%20&#1074;&#1072;&#1083;&#1102;&#1090;&#1072;&#1084;%202013-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2014\2%20&#1082;&#1074;&#1072;&#1088;&#1090;&#1072;&#1083;%202014\&#1064;&#1099;&#1085;&#1072;&#1088;\&#1089;&#1074;&#1077;&#1076;&#1077;&#1085;&#1080;&#1103;%20&#1085;&#1072;%201%20&#1080;&#1102;&#1083;&#1103;%202014%20&#107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Bakhytgul_&#1088;&#1072;&#1073;&#1086;&#1095;&#1072;&#1103;%20&#1087;&#1072;&#1087;&#1082;&#1072;\Bakhytgul_new\&#1040;&#1085;&#1072;&#1083;&#1080;&#1090;&#1080;&#1082;&#1072;\2014\2%20&#1082;&#1074;&#1072;&#1088;&#1090;&#1072;&#1083;%202014\&#1040;&#1083;&#1084;&#1072;&#1089;\2014-08-06%20&#1076;&#1080;&#1072;&#1075;&#1088;&#1072;&#1084;&#1084;&#1099;-&#1090;&#1072;&#1073;&#1083;&#1080;&#1094;&#1099;_01.01.2014..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185399673962847E-2"/>
          <c:y val="2.3974749991694071E-2"/>
          <c:w val="0.93087814384679901"/>
          <c:h val="0.85388032825010796"/>
        </c:manualLayout>
      </c:layout>
      <c:barChart>
        <c:barDir val="col"/>
        <c:grouping val="clustered"/>
        <c:varyColors val="0"/>
        <c:ser>
          <c:idx val="2"/>
          <c:order val="2"/>
          <c:tx>
            <c:strRef>
              <c:f>график!$B$18</c:f>
              <c:strCache>
                <c:ptCount val="1"/>
                <c:pt idx="0">
                  <c:v>всего депозитов</c:v>
                </c:pt>
              </c:strCache>
            </c:strRef>
          </c:tx>
          <c:spPr>
            <a:solidFill>
              <a:srgbClr val="92D050"/>
            </a:solidFill>
          </c:spPr>
          <c:invertIfNegative val="0"/>
          <c:dLbls>
            <c:dLbl>
              <c:idx val="0"/>
              <c:layout>
                <c:manualLayout>
                  <c:x val="7.8661258134167782E-3"/>
                  <c:y val="3.3755274261603376E-3"/>
                </c:manualLayout>
              </c:layout>
              <c:showLegendKey val="0"/>
              <c:showVal val="1"/>
              <c:showCatName val="0"/>
              <c:showSerName val="0"/>
              <c:showPercent val="0"/>
              <c:showBubbleSize val="0"/>
            </c:dLbl>
            <c:dLbl>
              <c:idx val="3"/>
              <c:layout>
                <c:manualLayout>
                  <c:x val="1.9665701653653238E-3"/>
                  <c:y val="1.6877637130801686E-2"/>
                </c:manualLayout>
              </c:layout>
              <c:showLegendKey val="0"/>
              <c:showVal val="1"/>
              <c:showCatName val="0"/>
              <c:showSerName val="0"/>
              <c:showPercent val="0"/>
              <c:showBubbleSize val="0"/>
            </c:dLbl>
            <c:dLbl>
              <c:idx val="6"/>
              <c:layout>
                <c:manualLayout>
                  <c:x val="1.9665701653653238E-3"/>
                  <c:y val="1.0126582278481013E-2"/>
                </c:manualLayout>
              </c:layout>
              <c:showLegendKey val="0"/>
              <c:showVal val="1"/>
              <c:showCatName val="0"/>
              <c:showSerName val="0"/>
              <c:showPercent val="0"/>
              <c:showBubbleSize val="0"/>
            </c:dLbl>
            <c:dLbl>
              <c:idx val="9"/>
              <c:layout>
                <c:manualLayout>
                  <c:x val="0"/>
                  <c:y val="1.6877637130801686E-2"/>
                </c:manualLayout>
              </c:layout>
              <c:showLegendKey val="0"/>
              <c:showVal val="1"/>
              <c:showCatName val="0"/>
              <c:showSerName val="0"/>
              <c:showPercent val="0"/>
              <c:showBubbleSize val="0"/>
            </c:dLbl>
            <c:dLbl>
              <c:idx val="12"/>
              <c:layout>
                <c:manualLayout>
                  <c:x val="1.9665701653653238E-3"/>
                  <c:y val="6.7510548523206752E-3"/>
                </c:manualLayout>
              </c:layout>
              <c:showLegendKey val="0"/>
              <c:showVal val="1"/>
              <c:showCatName val="0"/>
              <c:showSerName val="0"/>
              <c:showPercent val="0"/>
              <c:showBubbleSize val="0"/>
            </c:dLbl>
            <c:dLbl>
              <c:idx val="13"/>
              <c:layout>
                <c:manualLayout>
                  <c:x val="5.8997104960959714E-3"/>
                  <c:y val="-1.6877637130801686E-2"/>
                </c:manualLayout>
              </c:layout>
              <c:showLegendKey val="0"/>
              <c:showVal val="1"/>
              <c:showCatName val="0"/>
              <c:showSerName val="0"/>
              <c:showPercent val="0"/>
              <c:showBubbleSize val="0"/>
            </c:dLbl>
            <c:dLbl>
              <c:idx val="15"/>
              <c:layout>
                <c:manualLayout>
                  <c:x val="5.8997104960959714E-3"/>
                  <c:y val="3.3755274261602756E-3"/>
                </c:manualLayout>
              </c:layout>
              <c:showLegendKey val="0"/>
              <c:showVal val="1"/>
              <c:showCatName val="0"/>
              <c:showSerName val="0"/>
              <c:showPercent val="0"/>
              <c:showBubbleSize val="0"/>
            </c:dLbl>
            <c:dLbl>
              <c:idx val="16"/>
              <c:layout>
                <c:manualLayout>
                  <c:x val="0"/>
                  <c:y val="1.0126582278481013E-2"/>
                </c:manualLayout>
              </c:layout>
              <c:showLegendKey val="0"/>
              <c:showVal val="1"/>
              <c:showCatName val="0"/>
              <c:showSerName val="0"/>
              <c:showPercent val="0"/>
              <c:showBubbleSize val="0"/>
            </c:dLbl>
            <c:dLbl>
              <c:idx val="18"/>
              <c:layout>
                <c:manualLayout>
                  <c:x val="1.9665701653653238E-3"/>
                  <c:y val="0"/>
                </c:manualLayout>
              </c:layout>
              <c:showLegendKey val="0"/>
              <c:showVal val="1"/>
              <c:showCatName val="0"/>
              <c:showSerName val="0"/>
              <c:showPercent val="0"/>
              <c:showBubbleSize val="0"/>
            </c:dLbl>
            <c:numFmt formatCode="0.0%" sourceLinked="0"/>
            <c:txPr>
              <a:bodyPr/>
              <a:lstStyle/>
              <a:p>
                <a:pPr>
                  <a:defRPr b="1" i="1"/>
                </a:pPr>
                <a:endParaRPr lang="ru-RU"/>
              </a:p>
            </c:txPr>
            <c:showLegendKey val="0"/>
            <c:showVal val="1"/>
            <c:showCatName val="0"/>
            <c:showSerName val="0"/>
            <c:showPercent val="0"/>
            <c:showBubbleSize val="0"/>
            <c:showLeaderLines val="0"/>
          </c:dLbls>
          <c:cat>
            <c:numRef>
              <c:f>график!$C$15:$V$15</c:f>
              <c:numCache>
                <c:formatCode>m/d/yyyy</c:formatCode>
                <c:ptCount val="20"/>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numCache>
            </c:numRef>
          </c:cat>
          <c:val>
            <c:numRef>
              <c:f>график!$C$18:$V$18</c:f>
              <c:numCache>
                <c:formatCode>0.00%</c:formatCode>
                <c:ptCount val="20"/>
                <c:pt idx="1">
                  <c:v>7.6562769620495713E-2</c:v>
                </c:pt>
                <c:pt idx="4">
                  <c:v>3.5850175827657593E-2</c:v>
                </c:pt>
                <c:pt idx="7">
                  <c:v>3.1534485223729654E-2</c:v>
                </c:pt>
                <c:pt idx="10">
                  <c:v>2.9254087903935279E-2</c:v>
                </c:pt>
                <c:pt idx="13">
                  <c:v>5.2235386761733775E-2</c:v>
                </c:pt>
                <c:pt idx="16">
                  <c:v>4.7163858052983315E-2</c:v>
                </c:pt>
                <c:pt idx="19">
                  <c:v>5.6416469683501315E-2</c:v>
                </c:pt>
              </c:numCache>
            </c:numRef>
          </c:val>
        </c:ser>
        <c:dLbls>
          <c:showLegendKey val="0"/>
          <c:showVal val="0"/>
          <c:showCatName val="0"/>
          <c:showSerName val="0"/>
          <c:showPercent val="0"/>
          <c:showBubbleSize val="0"/>
        </c:dLbls>
        <c:gapWidth val="0"/>
        <c:overlap val="6"/>
        <c:axId val="139945472"/>
        <c:axId val="139947392"/>
      </c:barChart>
      <c:lineChart>
        <c:grouping val="standard"/>
        <c:varyColors val="0"/>
        <c:ser>
          <c:idx val="0"/>
          <c:order val="0"/>
          <c:tx>
            <c:strRef>
              <c:f>график!$B$16</c:f>
              <c:strCache>
                <c:ptCount val="1"/>
                <c:pt idx="0">
                  <c:v>в тенге</c:v>
                </c:pt>
              </c:strCache>
            </c:strRef>
          </c:tx>
          <c:spPr>
            <a:ln w="19050">
              <a:solidFill>
                <a:srgbClr val="C00000"/>
              </a:solidFill>
            </a:ln>
          </c:spPr>
          <c:marker>
            <c:symbol val="diamond"/>
            <c:size val="4"/>
            <c:spPr>
              <a:solidFill>
                <a:srgbClr val="C00000"/>
              </a:solidFill>
              <a:ln>
                <a:solidFill>
                  <a:srgbClr val="C00000"/>
                </a:solidFill>
              </a:ln>
            </c:spPr>
          </c:marker>
          <c:dPt>
            <c:idx val="16"/>
            <c:marker>
              <c:spPr>
                <a:solidFill>
                  <a:srgbClr val="FF0000"/>
                </a:solidFill>
                <a:ln>
                  <a:solidFill>
                    <a:srgbClr val="C00000"/>
                  </a:solidFill>
                </a:ln>
              </c:spPr>
            </c:marker>
            <c:bubble3D val="0"/>
          </c:dPt>
          <c:cat>
            <c:numRef>
              <c:f>график!$C$15:$V$15</c:f>
              <c:numCache>
                <c:formatCode>m/d/yyyy</c:formatCode>
                <c:ptCount val="20"/>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numCache>
            </c:numRef>
          </c:cat>
          <c:val>
            <c:numRef>
              <c:f>график!$C$16:$V$16</c:f>
              <c:numCache>
                <c:formatCode>0.00%</c:formatCode>
                <c:ptCount val="20"/>
                <c:pt idx="1">
                  <c:v>7.7803407798402613E-2</c:v>
                </c:pt>
                <c:pt idx="2">
                  <c:v>1.0162619228633644E-2</c:v>
                </c:pt>
                <c:pt idx="3">
                  <c:v>1.4960797065644125E-2</c:v>
                </c:pt>
                <c:pt idx="4">
                  <c:v>1.7382561517712693E-2</c:v>
                </c:pt>
                <c:pt idx="5">
                  <c:v>-1.7957243977040115E-3</c:v>
                </c:pt>
                <c:pt idx="6">
                  <c:v>9.6945518185874158E-3</c:v>
                </c:pt>
                <c:pt idx="7">
                  <c:v>1.8274138236275182E-2</c:v>
                </c:pt>
                <c:pt idx="8">
                  <c:v>-5.3125648945674842E-2</c:v>
                </c:pt>
                <c:pt idx="9">
                  <c:v>-1.2792532011358363E-2</c:v>
                </c:pt>
                <c:pt idx="10">
                  <c:v>1.319615342710303E-2</c:v>
                </c:pt>
                <c:pt idx="11">
                  <c:v>-8.8696396530721817E-3</c:v>
                </c:pt>
                <c:pt idx="12">
                  <c:v>1.034549328934703E-2</c:v>
                </c:pt>
                <c:pt idx="13">
                  <c:v>4.9374240011861074E-2</c:v>
                </c:pt>
                <c:pt idx="14">
                  <c:v>-1.7919793848627238E-2</c:v>
                </c:pt>
                <c:pt idx="15">
                  <c:v>-9.5275139589470509E-2</c:v>
                </c:pt>
                <c:pt idx="16">
                  <c:v>-3.9916994663110689E-2</c:v>
                </c:pt>
                <c:pt idx="17">
                  <c:v>3.7331012619082823E-2</c:v>
                </c:pt>
                <c:pt idx="18">
                  <c:v>3.374781204217623E-2</c:v>
                </c:pt>
                <c:pt idx="19">
                  <c:v>3.4342102166950803E-3</c:v>
                </c:pt>
              </c:numCache>
            </c:numRef>
          </c:val>
          <c:smooth val="1"/>
        </c:ser>
        <c:ser>
          <c:idx val="1"/>
          <c:order val="1"/>
          <c:tx>
            <c:strRef>
              <c:f>график!$B$17</c:f>
              <c:strCache>
                <c:ptCount val="1"/>
                <c:pt idx="0">
                  <c:v>в иностранной валюте</c:v>
                </c:pt>
              </c:strCache>
            </c:strRef>
          </c:tx>
          <c:spPr>
            <a:ln w="19050">
              <a:solidFill>
                <a:schemeClr val="tx2">
                  <a:lumMod val="60000"/>
                  <a:lumOff val="40000"/>
                </a:schemeClr>
              </a:solidFill>
            </a:ln>
          </c:spPr>
          <c:marker>
            <c:symbol val="diamond"/>
            <c:size val="4"/>
            <c:spPr>
              <a:solidFill>
                <a:srgbClr val="290EC8"/>
              </a:solidFill>
              <a:ln>
                <a:solidFill>
                  <a:schemeClr val="tx2">
                    <a:lumMod val="60000"/>
                    <a:lumOff val="40000"/>
                  </a:schemeClr>
                </a:solidFill>
              </a:ln>
            </c:spPr>
          </c:marker>
          <c:cat>
            <c:numRef>
              <c:f>график!$C$15:$V$15</c:f>
              <c:numCache>
                <c:formatCode>m/d/yyyy</c:formatCode>
                <c:ptCount val="20"/>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numCache>
            </c:numRef>
          </c:cat>
          <c:val>
            <c:numRef>
              <c:f>график!$C$17:$V$17</c:f>
              <c:numCache>
                <c:formatCode>0.00%</c:formatCode>
                <c:ptCount val="20"/>
                <c:pt idx="1">
                  <c:v>1.106818304881433E-2</c:v>
                </c:pt>
                <c:pt idx="2">
                  <c:v>5.9595197754019223E-3</c:v>
                </c:pt>
                <c:pt idx="3">
                  <c:v>2.8161029079799983E-2</c:v>
                </c:pt>
                <c:pt idx="4">
                  <c:v>-9.3518532045783111E-3</c:v>
                </c:pt>
                <c:pt idx="5">
                  <c:v>1.2658636164851399E-2</c:v>
                </c:pt>
                <c:pt idx="6">
                  <c:v>1.712683356097779E-2</c:v>
                </c:pt>
                <c:pt idx="7">
                  <c:v>9.5082544392461246E-3</c:v>
                </c:pt>
                <c:pt idx="8">
                  <c:v>0.12388959376151391</c:v>
                </c:pt>
                <c:pt idx="9">
                  <c:v>2.1296505421924929E-2</c:v>
                </c:pt>
                <c:pt idx="10">
                  <c:v>8.1903169268060776E-3</c:v>
                </c:pt>
                <c:pt idx="11">
                  <c:v>2.8794492427839158E-2</c:v>
                </c:pt>
                <c:pt idx="12">
                  <c:v>9.4018782461534785E-3</c:v>
                </c:pt>
                <c:pt idx="13">
                  <c:v>1.4987597784965336E-2</c:v>
                </c:pt>
                <c:pt idx="14">
                  <c:v>3.4744793436247784E-2</c:v>
                </c:pt>
                <c:pt idx="15">
                  <c:v>0.18003785441921258</c:v>
                </c:pt>
                <c:pt idx="16">
                  <c:v>5.9650720775481961E-2</c:v>
                </c:pt>
                <c:pt idx="17">
                  <c:v>1.3176872551203631E-2</c:v>
                </c:pt>
                <c:pt idx="18">
                  <c:v>-8.8550910022396588E-3</c:v>
                </c:pt>
                <c:pt idx="19">
                  <c:v>3.5634313848318236E-2</c:v>
                </c:pt>
              </c:numCache>
            </c:numRef>
          </c:val>
          <c:smooth val="1"/>
        </c:ser>
        <c:dLbls>
          <c:showLegendKey val="0"/>
          <c:showVal val="0"/>
          <c:showCatName val="0"/>
          <c:showSerName val="0"/>
          <c:showPercent val="0"/>
          <c:showBubbleSize val="0"/>
        </c:dLbls>
        <c:marker val="1"/>
        <c:smooth val="0"/>
        <c:axId val="139945472"/>
        <c:axId val="139947392"/>
      </c:lineChart>
      <c:dateAx>
        <c:axId val="139945472"/>
        <c:scaling>
          <c:orientation val="minMax"/>
        </c:scaling>
        <c:delete val="0"/>
        <c:axPos val="b"/>
        <c:majorGridlines>
          <c:spPr>
            <a:ln w="6350">
              <a:solidFill>
                <a:schemeClr val="bg1">
                  <a:lumMod val="75000"/>
                </a:schemeClr>
              </a:solidFill>
              <a:prstDash val="dash"/>
            </a:ln>
          </c:spPr>
        </c:majorGridlines>
        <c:numFmt formatCode="m/d/yyyy" sourceLinked="1"/>
        <c:majorTickMark val="out"/>
        <c:minorTickMark val="none"/>
        <c:tickLblPos val="nextTo"/>
        <c:crossAx val="139947392"/>
        <c:crosses val="autoZero"/>
        <c:auto val="1"/>
        <c:lblOffset val="100"/>
        <c:baseTimeUnit val="months"/>
      </c:dateAx>
      <c:valAx>
        <c:axId val="139947392"/>
        <c:scaling>
          <c:orientation val="minMax"/>
          <c:max val="0.2"/>
          <c:min val="-0.1"/>
        </c:scaling>
        <c:delete val="0"/>
        <c:axPos val="l"/>
        <c:majorGridlines>
          <c:spPr>
            <a:ln w="6350">
              <a:solidFill>
                <a:schemeClr val="bg1">
                  <a:lumMod val="75000"/>
                </a:schemeClr>
              </a:solidFill>
              <a:prstDash val="dash"/>
            </a:ln>
          </c:spPr>
        </c:majorGridlines>
        <c:numFmt formatCode="0%" sourceLinked="0"/>
        <c:majorTickMark val="out"/>
        <c:minorTickMark val="none"/>
        <c:tickLblPos val="nextTo"/>
        <c:crossAx val="139945472"/>
        <c:crosses val="autoZero"/>
        <c:crossBetween val="between"/>
      </c:valAx>
      <c:spPr>
        <a:ln>
          <a:noFill/>
        </a:ln>
      </c:spPr>
    </c:plotArea>
    <c:legend>
      <c:legendPos val="b"/>
      <c:layout>
        <c:manualLayout>
          <c:xMode val="edge"/>
          <c:yMode val="edge"/>
          <c:x val="0.1595925886009541"/>
          <c:y val="0.89170324595501516"/>
          <c:w val="0.74571163825514741"/>
          <c:h val="9.1419116914183196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097769028871391E-2"/>
          <c:y val="0"/>
          <c:w val="0.55130540376442017"/>
          <c:h val="0.92276422764227639"/>
        </c:manualLayout>
      </c:layout>
      <c:pieChart>
        <c:varyColors val="1"/>
        <c:ser>
          <c:idx val="0"/>
          <c:order val="0"/>
          <c:explosion val="25"/>
          <c:dPt>
            <c:idx val="0"/>
            <c:bubble3D val="0"/>
            <c:explosion val="10"/>
          </c:dPt>
          <c:dPt>
            <c:idx val="1"/>
            <c:bubble3D val="0"/>
            <c:explosion val="13"/>
          </c:dPt>
          <c:dPt>
            <c:idx val="2"/>
            <c:bubble3D val="0"/>
            <c:explosion val="12"/>
          </c:dPt>
          <c:dPt>
            <c:idx val="3"/>
            <c:bubble3D val="0"/>
            <c:explosion val="6"/>
          </c:dPt>
          <c:dPt>
            <c:idx val="4"/>
            <c:bubble3D val="0"/>
            <c:explosion val="9"/>
          </c:dPt>
          <c:dLbls>
            <c:dLbl>
              <c:idx val="0"/>
              <c:layout>
                <c:manualLayout>
                  <c:x val="-1.9203958880139982E-2"/>
                  <c:y val="-4.3576844561096532E-3"/>
                </c:manualLayout>
              </c:layout>
              <c:showLegendKey val="0"/>
              <c:showVal val="1"/>
              <c:showCatName val="0"/>
              <c:showSerName val="0"/>
              <c:showPercent val="0"/>
              <c:showBubbleSize val="0"/>
            </c:dLbl>
            <c:dLbl>
              <c:idx val="2"/>
              <c:layout>
                <c:manualLayout>
                  <c:x val="0.13110301837270341"/>
                  <c:y val="-0.15122594050743657"/>
                </c:manualLayout>
              </c:layout>
              <c:showLegendKey val="0"/>
              <c:showVal val="1"/>
              <c:showCatName val="0"/>
              <c:showSerName val="0"/>
              <c:showPercent val="0"/>
              <c:showBubbleSize val="0"/>
            </c:dLbl>
            <c:txPr>
              <a:bodyPr/>
              <a:lstStyle/>
              <a:p>
                <a:pPr>
                  <a:defRPr sz="800" b="1" i="1" u="none"/>
                </a:pPr>
                <a:endParaRPr lang="ru-RU"/>
              </a:p>
            </c:txPr>
            <c:showLegendKey val="0"/>
            <c:showVal val="1"/>
            <c:showCatName val="0"/>
            <c:showSerName val="0"/>
            <c:showPercent val="0"/>
            <c:showBubbleSize val="0"/>
            <c:showLeaderLines val="1"/>
          </c:dLbls>
          <c:cat>
            <c:strRef>
              <c:f>'свод 4,1 кв'!$B$60:$B$64</c:f>
              <c:strCache>
                <c:ptCount val="5"/>
                <c:pt idx="0">
                  <c:v>Срочные и условные вклады до Т5 млн.</c:v>
                </c:pt>
                <c:pt idx="1">
                  <c:v>Срочные и условные вклады от Т5 млн. до Т15 млн. </c:v>
                </c:pt>
                <c:pt idx="2">
                  <c:v>Срочные и условные вклады свыше Т15 млн. </c:v>
                </c:pt>
                <c:pt idx="3">
                  <c:v>До востребования</c:v>
                </c:pt>
                <c:pt idx="4">
                  <c:v>Текущие и карт-счета</c:v>
                </c:pt>
              </c:strCache>
            </c:strRef>
          </c:cat>
          <c:val>
            <c:numRef>
              <c:f>'свод 4,1 кв'!$D$60:$D$64</c:f>
              <c:numCache>
                <c:formatCode>0.0%</c:formatCode>
                <c:ptCount val="5"/>
                <c:pt idx="0">
                  <c:v>0.29503678801032607</c:v>
                </c:pt>
                <c:pt idx="1">
                  <c:v>0.12133571326840344</c:v>
                </c:pt>
                <c:pt idx="2">
                  <c:v>0.4675266820779464</c:v>
                </c:pt>
                <c:pt idx="3">
                  <c:v>9.9601206436983752E-3</c:v>
                </c:pt>
                <c:pt idx="4">
                  <c:v>0.10614069599962589</c:v>
                </c:pt>
              </c:numCache>
            </c:numRef>
          </c:val>
        </c:ser>
        <c:dLbls>
          <c:showLegendKey val="0"/>
          <c:showVal val="0"/>
          <c:showCatName val="0"/>
          <c:showSerName val="0"/>
          <c:showPercent val="0"/>
          <c:showBubbleSize val="0"/>
          <c:showLeaderLines val="1"/>
        </c:dLbls>
        <c:firstSliceAng val="0"/>
      </c:pieChart>
      <c:spPr>
        <a:ln>
          <a:noFill/>
        </a:ln>
      </c:spPr>
    </c:plotArea>
    <c:legend>
      <c:legendPos val="r"/>
      <c:layout>
        <c:manualLayout>
          <c:xMode val="edge"/>
          <c:yMode val="edge"/>
          <c:x val="0.56631955740450179"/>
          <c:y val="0.10070239607145881"/>
          <c:w val="0.33413757655293086"/>
          <c:h val="0.70214454900454515"/>
        </c:manualLayout>
      </c:layout>
      <c:overlay val="0"/>
      <c:txPr>
        <a:bodyPr/>
        <a:lstStyle/>
        <a:p>
          <a:pPr>
            <a:defRPr sz="9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'классиф группы'!$A$2</c:f>
              <c:strCache>
                <c:ptCount val="1"/>
                <c:pt idx="0">
                  <c:v>Группа А</c:v>
                </c:pt>
              </c:strCache>
            </c:strRef>
          </c:tx>
          <c:spPr>
            <a:solidFill>
              <a:srgbClr val="FFC000"/>
            </a:solidFill>
          </c:spPr>
          <c:invertIfNegative val="0"/>
          <c:dLbls>
            <c:dLbl>
              <c:idx val="2"/>
              <c:layout>
                <c:manualLayout>
                  <c:x val="5.0793640636192352E-3"/>
                  <c:y val="0"/>
                </c:manualLayout>
              </c:layout>
              <c:showLegendKey val="0"/>
              <c:showVal val="1"/>
              <c:showCatName val="0"/>
              <c:showSerName val="0"/>
              <c:showPercent val="0"/>
              <c:showBubbleSize val="0"/>
            </c:dLbl>
            <c:dLbl>
              <c:idx val="3"/>
              <c:delete val="1"/>
            </c:dLbl>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группы'!$J$2:$O$2</c:f>
              <c:numCache>
                <c:formatCode>General</c:formatCode>
                <c:ptCount val="6"/>
                <c:pt idx="0">
                  <c:v>1</c:v>
                </c:pt>
                <c:pt idx="1">
                  <c:v>1</c:v>
                </c:pt>
                <c:pt idx="2">
                  <c:v>1</c:v>
                </c:pt>
                <c:pt idx="3">
                  <c:v>1</c:v>
                </c:pt>
                <c:pt idx="4">
                  <c:v>1</c:v>
                </c:pt>
                <c:pt idx="5">
                  <c:v>1</c:v>
                </c:pt>
              </c:numCache>
            </c:numRef>
          </c:val>
        </c:ser>
        <c:ser>
          <c:idx val="1"/>
          <c:order val="1"/>
          <c:tx>
            <c:strRef>
              <c:f>'классиф группы'!$A$3</c:f>
              <c:strCache>
                <c:ptCount val="1"/>
                <c:pt idx="0">
                  <c:v>Группа В</c:v>
                </c:pt>
              </c:strCache>
            </c:strRef>
          </c:tx>
          <c:spPr>
            <a:solidFill>
              <a:srgbClr val="FF000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группы'!$J$3:$O$3</c:f>
              <c:numCache>
                <c:formatCode>General</c:formatCode>
                <c:ptCount val="6"/>
                <c:pt idx="0">
                  <c:v>9</c:v>
                </c:pt>
                <c:pt idx="1">
                  <c:v>7</c:v>
                </c:pt>
                <c:pt idx="2">
                  <c:v>5</c:v>
                </c:pt>
                <c:pt idx="3">
                  <c:v>3</c:v>
                </c:pt>
                <c:pt idx="4">
                  <c:v>2</c:v>
                </c:pt>
                <c:pt idx="5">
                  <c:v>6</c:v>
                </c:pt>
              </c:numCache>
            </c:numRef>
          </c:val>
        </c:ser>
        <c:ser>
          <c:idx val="2"/>
          <c:order val="2"/>
          <c:tx>
            <c:strRef>
              <c:f>'классиф группы'!$A$4</c:f>
              <c:strCache>
                <c:ptCount val="1"/>
                <c:pt idx="0">
                  <c:v>Группа C</c:v>
                </c:pt>
              </c:strCache>
            </c:strRef>
          </c:tx>
          <c:spPr>
            <a:solidFill>
              <a:srgbClr val="00B05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группы'!$J$4:$O$4</c:f>
              <c:numCache>
                <c:formatCode>General</c:formatCode>
                <c:ptCount val="6"/>
                <c:pt idx="0">
                  <c:v>11</c:v>
                </c:pt>
                <c:pt idx="1">
                  <c:v>16</c:v>
                </c:pt>
                <c:pt idx="2">
                  <c:v>16</c:v>
                </c:pt>
                <c:pt idx="3">
                  <c:v>13</c:v>
                </c:pt>
                <c:pt idx="4">
                  <c:v>17</c:v>
                </c:pt>
                <c:pt idx="5">
                  <c:v>15</c:v>
                </c:pt>
              </c:numCache>
            </c:numRef>
          </c:val>
        </c:ser>
        <c:ser>
          <c:idx val="3"/>
          <c:order val="3"/>
          <c:tx>
            <c:strRef>
              <c:f>'классиф группы'!$A$5</c:f>
              <c:strCache>
                <c:ptCount val="1"/>
                <c:pt idx="0">
                  <c:v>Группа D</c:v>
                </c:pt>
              </c:strCache>
            </c:strRef>
          </c:tx>
          <c:spPr>
            <a:solidFill>
              <a:srgbClr val="A66BD3"/>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группы'!$J$5:$O$5</c:f>
              <c:numCache>
                <c:formatCode>General</c:formatCode>
                <c:ptCount val="6"/>
                <c:pt idx="0">
                  <c:v>11</c:v>
                </c:pt>
                <c:pt idx="1">
                  <c:v>8</c:v>
                </c:pt>
                <c:pt idx="2">
                  <c:v>10</c:v>
                </c:pt>
                <c:pt idx="3">
                  <c:v>10</c:v>
                </c:pt>
                <c:pt idx="4">
                  <c:v>11</c:v>
                </c:pt>
                <c:pt idx="5">
                  <c:v>10</c:v>
                </c:pt>
              </c:numCache>
            </c:numRef>
          </c:val>
        </c:ser>
        <c:ser>
          <c:idx val="4"/>
          <c:order val="4"/>
          <c:tx>
            <c:strRef>
              <c:f>'классиф группы'!$A$6</c:f>
              <c:strCache>
                <c:ptCount val="1"/>
                <c:pt idx="0">
                  <c:v>Группа E</c:v>
                </c:pt>
              </c:strCache>
            </c:strRef>
          </c:tx>
          <c:spPr>
            <a:solidFill>
              <a:srgbClr val="6F76F9"/>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группы'!$J$6:$O$6</c:f>
              <c:numCache>
                <c:formatCode>General</c:formatCode>
                <c:ptCount val="6"/>
                <c:pt idx="0">
                  <c:v>3</c:v>
                </c:pt>
                <c:pt idx="1">
                  <c:v>3</c:v>
                </c:pt>
                <c:pt idx="2">
                  <c:v>1</c:v>
                </c:pt>
                <c:pt idx="3">
                  <c:v>2</c:v>
                </c:pt>
                <c:pt idx="4">
                  <c:v>2</c:v>
                </c:pt>
                <c:pt idx="5">
                  <c:v>2</c:v>
                </c:pt>
              </c:numCache>
            </c:numRef>
          </c:val>
        </c:ser>
        <c:ser>
          <c:idx val="5"/>
          <c:order val="5"/>
          <c:tx>
            <c:strRef>
              <c:f>'классиф группы'!$A$7</c:f>
              <c:strCache>
                <c:ptCount val="1"/>
                <c:pt idx="0">
                  <c:v>Группа S</c:v>
                </c:pt>
              </c:strCache>
            </c:strRef>
          </c:tx>
          <c:spPr>
            <a:solidFill>
              <a:schemeClr val="bg1">
                <a:lumMod val="75000"/>
              </a:schemeClr>
            </a:solidFill>
          </c:spPr>
          <c:invertIfNegative val="0"/>
          <c:dLbls>
            <c:dLbl>
              <c:idx val="0"/>
              <c:layout>
                <c:manualLayout>
                  <c:x val="0.7764989808392081"/>
                  <c:y val="-1.2914650161341492E-2"/>
                </c:manualLayout>
              </c:layout>
              <c:tx>
                <c:rich>
                  <a:bodyPr/>
                  <a:lstStyle/>
                  <a:p>
                    <a:r>
                      <a:rPr lang="en-US" sz="800"/>
                      <a:t>3</a:t>
                    </a:r>
                    <a:endParaRPr lang="en-US"/>
                  </a:p>
                </c:rich>
              </c:tx>
              <c:showLegendKey val="0"/>
              <c:showVal val="1"/>
              <c:showCatName val="0"/>
              <c:showSerName val="0"/>
              <c:showPercent val="0"/>
              <c:showBubbleSize val="0"/>
            </c:dLbl>
            <c:dLbl>
              <c:idx val="1"/>
              <c:delete val="1"/>
            </c:dLbl>
            <c:dLbl>
              <c:idx val="5"/>
              <c:delete val="1"/>
            </c:dLbl>
            <c:dLbl>
              <c:idx val="9"/>
              <c:layout>
                <c:manualLayout>
                  <c:x val="2.5394820568464828E-3"/>
                  <c:y val="4.140786749482402E-3"/>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'классиф группы'!$J$1:$O$1</c:f>
              <c:strCache>
                <c:ptCount val="6"/>
                <c:pt idx="0">
                  <c:v>I кв. 13</c:v>
                </c:pt>
                <c:pt idx="1">
                  <c:v>II кв. 13</c:v>
                </c:pt>
                <c:pt idx="2">
                  <c:v>III кв. 13</c:v>
                </c:pt>
                <c:pt idx="3">
                  <c:v>IV кв. 13</c:v>
                </c:pt>
                <c:pt idx="4">
                  <c:v>I кв. 14</c:v>
                </c:pt>
                <c:pt idx="5">
                  <c:v>II кв. 14</c:v>
                </c:pt>
              </c:strCache>
            </c:strRef>
          </c:cat>
          <c:val>
            <c:numRef>
              <c:f>'классиф группы'!$J$7:$O$7</c:f>
              <c:numCache>
                <c:formatCode>General</c:formatCode>
                <c:ptCount val="6"/>
                <c:pt idx="0">
                  <c:v>0</c:v>
                </c:pt>
                <c:pt idx="1">
                  <c:v>0</c:v>
                </c:pt>
                <c:pt idx="2">
                  <c:v>2</c:v>
                </c:pt>
                <c:pt idx="3">
                  <c:v>6</c:v>
                </c:pt>
                <c:pt idx="4">
                  <c:v>3</c:v>
                </c:pt>
                <c:pt idx="5">
                  <c:v>3</c:v>
                </c:pt>
              </c:numCache>
            </c:numRef>
          </c:val>
        </c:ser>
        <c:dLbls>
          <c:showLegendKey val="0"/>
          <c:showVal val="0"/>
          <c:showCatName val="0"/>
          <c:showSerName val="0"/>
          <c:showPercent val="0"/>
          <c:showBubbleSize val="0"/>
        </c:dLbls>
        <c:gapWidth val="75"/>
        <c:overlap val="100"/>
        <c:axId val="140169984"/>
        <c:axId val="140171520"/>
      </c:barChart>
      <c:catAx>
        <c:axId val="140169984"/>
        <c:scaling>
          <c:orientation val="minMax"/>
        </c:scaling>
        <c:delete val="0"/>
        <c:axPos val="b"/>
        <c:numFmt formatCode="General" sourceLinked="1"/>
        <c:majorTickMark val="none"/>
        <c:minorTickMark val="none"/>
        <c:tickLblPos val="nextTo"/>
        <c:crossAx val="140171520"/>
        <c:crosses val="autoZero"/>
        <c:auto val="1"/>
        <c:lblAlgn val="ctr"/>
        <c:lblOffset val="100"/>
        <c:noMultiLvlLbl val="0"/>
      </c:catAx>
      <c:valAx>
        <c:axId val="140171520"/>
        <c:scaling>
          <c:orientation val="minMax"/>
          <c:max val="38"/>
        </c:scaling>
        <c:delete val="0"/>
        <c:axPos val="l"/>
        <c:majorGridlines>
          <c:spPr>
            <a:ln w="6350">
              <a:prstDash val="dash"/>
            </a:ln>
          </c:spPr>
        </c:majorGridlines>
        <c:numFmt formatCode="General" sourceLinked="1"/>
        <c:majorTickMark val="none"/>
        <c:minorTickMark val="none"/>
        <c:tickLblPos val="nextTo"/>
        <c:txPr>
          <a:bodyPr/>
          <a:lstStyle/>
          <a:p>
            <a:pPr>
              <a:defRPr sz="800"/>
            </a:pPr>
            <a:endParaRPr lang="ru-RU"/>
          </a:p>
        </c:txPr>
        <c:crossAx val="140169984"/>
        <c:crosses val="autoZero"/>
        <c:crossBetween val="between"/>
      </c:valAx>
    </c:plotArea>
    <c:legend>
      <c:legendPos val="b"/>
      <c:overlay val="0"/>
      <c:txPr>
        <a:bodyPr/>
        <a:lstStyle/>
        <a:p>
          <a:pPr>
            <a:defRPr sz="9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0.26401</cdr:x>
      <cdr:y>0.90566</cdr:y>
    </cdr:from>
    <cdr:to>
      <cdr:x>0.37374</cdr:x>
      <cdr:y>0.97966</cdr:y>
    </cdr:to>
    <cdr:sp macro="" textlink="">
      <cdr:nvSpPr>
        <cdr:cNvPr id="2" name="Надпись 2"/>
        <cdr:cNvSpPr txBox="1">
          <a:spLocks xmlns:a="http://schemas.openxmlformats.org/drawingml/2006/main" noChangeArrowheads="1"/>
        </cdr:cNvSpPr>
      </cdr:nvSpPr>
      <cdr:spPr bwMode="auto">
        <a:xfrm xmlns:a="http://schemas.openxmlformats.org/drawingml/2006/main">
          <a:off x="1310162" y="2743201"/>
          <a:ext cx="544518" cy="22415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800">
              <a:latin typeface="Times New Roman" pitchFamily="18" charset="0"/>
              <a:cs typeface="Times New Roman" pitchFamily="18" charset="0"/>
            </a:rPr>
            <a:t>Group</a:t>
          </a:r>
          <a:r>
            <a:rPr lang="en-US" sz="800" baseline="0">
              <a:latin typeface="Times New Roman" pitchFamily="18" charset="0"/>
              <a:cs typeface="Times New Roman" pitchFamily="18" charset="0"/>
            </a:rPr>
            <a:t> B</a:t>
          </a:r>
          <a:endParaRPr lang="ru-RU" sz="8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8AF6-829A-46EF-A204-214FED7C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Nazym</dc:creator>
  <cp:keywords/>
  <dc:description/>
  <cp:lastModifiedBy>Nazym</cp:lastModifiedBy>
  <cp:revision>16</cp:revision>
  <dcterms:created xsi:type="dcterms:W3CDTF">2015-01-16T04:24:00Z</dcterms:created>
  <dcterms:modified xsi:type="dcterms:W3CDTF">2015-03-13T08:26:00Z</dcterms:modified>
</cp:coreProperties>
</file>